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0"/>
        <w:jc w:val="center"/>
      </w:pPr>
      <w:r>
        <w:rPr>
          <w:b/>
          <w:color w:val="0B2545"/>
          <w:sz w:val="44"/>
        </w:rPr>
        <w:t>Jeremy Fontenot’s On-Premises Home Lab Documentation</w:t>
      </w:r>
    </w:p>
    <w:p>
      <w:pPr>
        <w:jc w:val="center"/>
      </w:pPr>
      <w:r>
        <w:rPr>
          <w:b/>
        </w:rPr>
        <w:t>Prepared by Jeremy Fontenot</w:t>
      </w:r>
      <w:r>
        <w:br/>
        <w:t>Home-lab source commit: 3d42a4808a6a0607d78f4f4e7fd1e71783729a6b</w:t>
      </w:r>
      <w:r>
        <w:br/>
        <w:t>Generated: 2026-06-27T01:41:49+00:00</w:t>
      </w:r>
    </w:p>
    <w:p>
      <w:r>
        <w:br w:type="page"/>
      </w:r>
    </w:p>
    <w:p>
      <w:bookmarkStart w:id="1" w:name="TOC"/>
      <w:pPr>
        <w:pStyle w:val="Heading1"/>
      </w:pPr>
      <w:r>
        <w:t>Table of Contents</w:t>
      </w:r>
      <w:bookmarkEnd w:id="1"/>
    </w:p>
    <w:p>
      <w:pPr>
        <w:tabs>
          <w:tab w:pos="9000" w:val="left"/>
        </w:tabs>
        <w:ind w:left="0"/>
      </w:pPr>
      <w:hyperlink w:anchor="Abstract">
        <w:r>
          <w:rPr>
            <w:color w:val="0563C1"/>
            <w:u w:val="single"/>
          </w:rPr>
          <w:t>Abstract</w:t>
        </w:r>
      </w:hyperlink>
      <w:r>
        <w:tab/>
        <w:t>4</w:t>
      </w:r>
    </w:p>
    <w:p>
      <w:pPr>
        <w:tabs>
          <w:tab w:pos="9000" w:val="left"/>
        </w:tabs>
        <w:ind w:left="0"/>
      </w:pPr>
      <w:hyperlink w:anchor="Purpose_and_Scope">
        <w:r>
          <w:rPr>
            <w:color w:val="0563C1"/>
            <w:u w:val="single"/>
          </w:rPr>
          <w:t>Purpose and Scope</w:t>
        </w:r>
      </w:hyperlink>
      <w:r>
        <w:tab/>
        <w:t>4</w:t>
      </w:r>
    </w:p>
    <w:p>
      <w:pPr>
        <w:tabs>
          <w:tab w:pos="9000" w:val="left"/>
        </w:tabs>
        <w:ind w:left="0"/>
      </w:pPr>
      <w:hyperlink w:anchor="Environment_Boundaries">
        <w:r>
          <w:rPr>
            <w:color w:val="0563C1"/>
            <w:u w:val="single"/>
          </w:rPr>
          <w:t>Environment Boundaries</w:t>
        </w:r>
      </w:hyperlink>
      <w:r>
        <w:tab/>
        <w:t>4</w:t>
      </w:r>
    </w:p>
    <w:p>
      <w:pPr>
        <w:tabs>
          <w:tab w:pos="9000" w:val="left"/>
        </w:tabs>
        <w:ind w:left="0"/>
      </w:pPr>
      <w:hyperlink w:anchor="Evidence_Methodology">
        <w:r>
          <w:rPr>
            <w:color w:val="0563C1"/>
            <w:u w:val="single"/>
          </w:rPr>
          <w:t>Evidence Methodology</w:t>
        </w:r>
      </w:hyperlink>
      <w:r>
        <w:tab/>
        <w:t>4</w:t>
      </w:r>
    </w:p>
    <w:p>
      <w:pPr>
        <w:tabs>
          <w:tab w:pos="9000" w:val="left"/>
        </w:tabs>
        <w:ind w:left="0"/>
      </w:pPr>
      <w:hyperlink w:anchor="Evidence_Classification">
        <w:r>
          <w:rPr>
            <w:color w:val="0563C1"/>
            <w:u w:val="single"/>
          </w:rPr>
          <w:t>Evidence Classification</w:t>
        </w:r>
      </w:hyperlink>
      <w:r>
        <w:tab/>
        <w:t>5</w:t>
      </w:r>
    </w:p>
    <w:p>
      <w:pPr>
        <w:tabs>
          <w:tab w:pos="9000" w:val="left"/>
        </w:tabs>
        <w:ind w:left="0"/>
      </w:pPr>
      <w:hyperlink w:anchor="Physical_Server_Architecture">
        <w:r>
          <w:rPr>
            <w:color w:val="0563C1"/>
            <w:u w:val="single"/>
          </w:rPr>
          <w:t>Physical Server Architecture</w:t>
        </w:r>
      </w:hyperlink>
      <w:r>
        <w:tab/>
        <w:t>6</w:t>
      </w:r>
    </w:p>
    <w:p>
      <w:pPr>
        <w:tabs>
          <w:tab w:pos="9000" w:val="left"/>
        </w:tabs>
        <w:ind w:left="0"/>
      </w:pPr>
      <w:hyperlink w:anchor="Proxmox_Virtualization">
        <w:r>
          <w:rPr>
            <w:color w:val="0563C1"/>
            <w:u w:val="single"/>
          </w:rPr>
          <w:t>Proxmox Virtualization</w:t>
        </w:r>
      </w:hyperlink>
      <w:r>
        <w:tab/>
        <w:t>6</w:t>
      </w:r>
    </w:p>
    <w:p>
      <w:pPr>
        <w:tabs>
          <w:tab w:pos="9000" w:val="left"/>
        </w:tabs>
        <w:ind w:left="0"/>
      </w:pPr>
      <w:hyperlink w:anchor="Storage_Architecture">
        <w:r>
          <w:rPr>
            <w:color w:val="0563C1"/>
            <w:u w:val="single"/>
          </w:rPr>
          <w:t>Storage Architecture</w:t>
        </w:r>
      </w:hyperlink>
      <w:r>
        <w:tab/>
        <w:t>7</w:t>
      </w:r>
    </w:p>
    <w:p>
      <w:pPr>
        <w:tabs>
          <w:tab w:pos="9000" w:val="left"/>
        </w:tabs>
        <w:ind w:left="0"/>
      </w:pPr>
      <w:hyperlink w:anchor="pfSense">
        <w:r>
          <w:rPr>
            <w:color w:val="0563C1"/>
            <w:u w:val="single"/>
          </w:rPr>
          <w:t>pfSense</w:t>
        </w:r>
      </w:hyperlink>
      <w:r>
        <w:tab/>
        <w:t>7</w:t>
      </w:r>
    </w:p>
    <w:p>
      <w:pPr>
        <w:tabs>
          <w:tab w:pos="9000" w:val="left"/>
        </w:tabs>
        <w:ind w:left="0"/>
      </w:pPr>
      <w:hyperlink w:anchor="Network_Bridges">
        <w:r>
          <w:rPr>
            <w:color w:val="0563C1"/>
            <w:u w:val="single"/>
          </w:rPr>
          <w:t>Network Bridges</w:t>
        </w:r>
      </w:hyperlink>
      <w:r>
        <w:tab/>
        <w:t>7</w:t>
      </w:r>
    </w:p>
    <w:p>
      <w:pPr>
        <w:tabs>
          <w:tab w:pos="9000" w:val="left"/>
        </w:tabs>
        <w:ind w:left="0"/>
      </w:pPr>
      <w:hyperlink w:anchor="VLANs">
        <w:r>
          <w:rPr>
            <w:color w:val="0563C1"/>
            <w:u w:val="single"/>
          </w:rPr>
          <w:t>VLANs</w:t>
        </w:r>
      </w:hyperlink>
      <w:r>
        <w:tab/>
        <w:t>8</w:t>
      </w:r>
    </w:p>
    <w:p>
      <w:pPr>
        <w:tabs>
          <w:tab w:pos="9000" w:val="left"/>
        </w:tabs>
        <w:ind w:left="0"/>
      </w:pPr>
      <w:hyperlink w:anchor="VPN_and_Management_Routing">
        <w:r>
          <w:rPr>
            <w:color w:val="0563C1"/>
            <w:u w:val="single"/>
          </w:rPr>
          <w:t>VPN and Management Routing</w:t>
        </w:r>
      </w:hyperlink>
      <w:r>
        <w:tab/>
        <w:t>8</w:t>
      </w:r>
    </w:p>
    <w:p>
      <w:pPr>
        <w:tabs>
          <w:tab w:pos="9000" w:val="left"/>
        </w:tabs>
        <w:ind w:left="0"/>
      </w:pPr>
      <w:hyperlink w:anchor="DC01">
        <w:r>
          <w:rPr>
            <w:color w:val="0563C1"/>
            <w:u w:val="single"/>
          </w:rPr>
          <w:t>DC01</w:t>
        </w:r>
      </w:hyperlink>
      <w:r>
        <w:tab/>
        <w:t>8</w:t>
      </w:r>
    </w:p>
    <w:p>
      <w:pPr>
        <w:tabs>
          <w:tab w:pos="9000" w:val="left"/>
        </w:tabs>
        <w:ind w:left="0"/>
      </w:pPr>
      <w:hyperlink w:anchor="Active_Directory_Domain_Services">
        <w:r>
          <w:rPr>
            <w:color w:val="0563C1"/>
            <w:u w:val="single"/>
          </w:rPr>
          <w:t>Active Directory Domain Services</w:t>
        </w:r>
      </w:hyperlink>
      <w:r>
        <w:tab/>
        <w:t>9</w:t>
      </w:r>
    </w:p>
    <w:p>
      <w:pPr>
        <w:tabs>
          <w:tab w:pos="9000" w:val="left"/>
        </w:tabs>
        <w:ind w:left="0"/>
      </w:pPr>
      <w:hyperlink w:anchor="FSMO_Roles">
        <w:r>
          <w:rPr>
            <w:color w:val="0563C1"/>
            <w:u w:val="single"/>
          </w:rPr>
          <w:t>FSMO Roles</w:t>
        </w:r>
      </w:hyperlink>
      <w:r>
        <w:tab/>
        <w:t>9</w:t>
      </w:r>
    </w:p>
    <w:p>
      <w:pPr>
        <w:tabs>
          <w:tab w:pos="9000" w:val="left"/>
        </w:tabs>
        <w:ind w:left="0"/>
      </w:pPr>
      <w:hyperlink w:anchor="DNS">
        <w:r>
          <w:rPr>
            <w:color w:val="0563C1"/>
            <w:u w:val="single"/>
          </w:rPr>
          <w:t>DNS</w:t>
        </w:r>
      </w:hyperlink>
      <w:r>
        <w:tab/>
        <w:t>9</w:t>
      </w:r>
    </w:p>
    <w:p>
      <w:pPr>
        <w:tabs>
          <w:tab w:pos="9000" w:val="left"/>
        </w:tabs>
        <w:ind w:left="0"/>
      </w:pPr>
      <w:hyperlink w:anchor="DHCP">
        <w:r>
          <w:rPr>
            <w:color w:val="0563C1"/>
            <w:u w:val="single"/>
          </w:rPr>
          <w:t>DHCP</w:t>
        </w:r>
      </w:hyperlink>
      <w:r>
        <w:tab/>
        <w:t>9</w:t>
      </w:r>
    </w:p>
    <w:p>
      <w:pPr>
        <w:tabs>
          <w:tab w:pos="9000" w:val="left"/>
        </w:tabs>
        <w:ind w:left="0"/>
      </w:pPr>
      <w:hyperlink w:anchor="Group_Policy">
        <w:r>
          <w:rPr>
            <w:color w:val="0563C1"/>
            <w:u w:val="single"/>
          </w:rPr>
          <w:t>Group Policy</w:t>
        </w:r>
      </w:hyperlink>
      <w:r>
        <w:tab/>
        <w:t>10</w:t>
      </w:r>
    </w:p>
    <w:p>
      <w:pPr>
        <w:tabs>
          <w:tab w:pos="9000" w:val="left"/>
        </w:tabs>
        <w:ind w:left="0"/>
      </w:pPr>
      <w:hyperlink w:anchor="File_Services">
        <w:r>
          <w:rPr>
            <w:color w:val="0563C1"/>
            <w:u w:val="single"/>
          </w:rPr>
          <w:t>File Services</w:t>
        </w:r>
      </w:hyperlink>
      <w:r>
        <w:tab/>
        <w:t>10</w:t>
      </w:r>
    </w:p>
    <w:p>
      <w:pPr>
        <w:tabs>
          <w:tab w:pos="9000" w:val="left"/>
        </w:tabs>
        <w:ind w:left="0"/>
      </w:pPr>
      <w:hyperlink w:anchor="Security_Groups_and_Permissions">
        <w:r>
          <w:rPr>
            <w:color w:val="0563C1"/>
            <w:u w:val="single"/>
          </w:rPr>
          <w:t>Security Groups and Permissions</w:t>
        </w:r>
      </w:hyperlink>
      <w:r>
        <w:tab/>
        <w:t>10</w:t>
      </w:r>
    </w:p>
    <w:p>
      <w:pPr>
        <w:tabs>
          <w:tab w:pos="9000" w:val="left"/>
        </w:tabs>
        <w:ind w:left="0"/>
      </w:pPr>
      <w:hyperlink w:anchor="WS01">
        <w:r>
          <w:rPr>
            <w:color w:val="0563C1"/>
            <w:u w:val="single"/>
          </w:rPr>
          <w:t>WS01</w:t>
        </w:r>
      </w:hyperlink>
      <w:r>
        <w:tab/>
        <w:t>10</w:t>
      </w:r>
    </w:p>
    <w:p>
      <w:pPr>
        <w:tabs>
          <w:tab w:pos="9000" w:val="left"/>
        </w:tabs>
        <w:ind w:left="0"/>
      </w:pPr>
      <w:hyperlink w:anchor="Linux01">
        <w:r>
          <w:rPr>
            <w:color w:val="0563C1"/>
            <w:u w:val="single"/>
          </w:rPr>
          <w:t>Linux01</w:t>
        </w:r>
      </w:hyperlink>
      <w:r>
        <w:tab/>
        <w:t>11</w:t>
      </w:r>
    </w:p>
    <w:p>
      <w:pPr>
        <w:tabs>
          <w:tab w:pos="9000" w:val="left"/>
        </w:tabs>
        <w:ind w:left="0"/>
      </w:pPr>
      <w:hyperlink w:anchor="Linux_VLAN_Placement">
        <w:r>
          <w:rPr>
            <w:color w:val="0563C1"/>
            <w:u w:val="single"/>
          </w:rPr>
          <w:t>Linux VLAN Placement</w:t>
        </w:r>
      </w:hyperlink>
      <w:r>
        <w:tab/>
        <w:t>11</w:t>
      </w:r>
    </w:p>
    <w:p>
      <w:pPr>
        <w:tabs>
          <w:tab w:pos="9000" w:val="left"/>
        </w:tabs>
        <w:ind w:left="0"/>
      </w:pPr>
      <w:hyperlink w:anchor="Active_Directory_Integration">
        <w:r>
          <w:rPr>
            <w:color w:val="0563C1"/>
            <w:u w:val="single"/>
          </w:rPr>
          <w:t>Active Directory Integration</w:t>
        </w:r>
      </w:hyperlink>
      <w:r>
        <w:tab/>
        <w:t>11</w:t>
      </w:r>
    </w:p>
    <w:p>
      <w:pPr>
        <w:tabs>
          <w:tab w:pos="9000" w:val="left"/>
        </w:tabs>
        <w:ind w:left="0"/>
      </w:pPr>
      <w:hyperlink w:anchor="SSSD">
        <w:r>
          <w:rPr>
            <w:color w:val="0563C1"/>
            <w:u w:val="single"/>
          </w:rPr>
          <w:t>SSSD</w:t>
        </w:r>
      </w:hyperlink>
      <w:r>
        <w:tab/>
        <w:t>11</w:t>
      </w:r>
    </w:p>
    <w:p>
      <w:pPr>
        <w:tabs>
          <w:tab w:pos="9000" w:val="left"/>
        </w:tabs>
        <w:ind w:left="0"/>
      </w:pPr>
      <w:hyperlink w:anchor="Kerberos">
        <w:r>
          <w:rPr>
            <w:color w:val="0563C1"/>
            <w:u w:val="single"/>
          </w:rPr>
          <w:t>Kerberos</w:t>
        </w:r>
      </w:hyperlink>
      <w:r>
        <w:tab/>
        <w:t>12</w:t>
      </w:r>
    </w:p>
    <w:p>
      <w:pPr>
        <w:tabs>
          <w:tab w:pos="9000" w:val="left"/>
        </w:tabs>
        <w:ind w:left="0"/>
      </w:pPr>
      <w:hyperlink w:anchor="SSH">
        <w:r>
          <w:rPr>
            <w:color w:val="0563C1"/>
            <w:u w:val="single"/>
          </w:rPr>
          <w:t>SSH</w:t>
        </w:r>
      </w:hyperlink>
      <w:r>
        <w:tab/>
        <w:t>12</w:t>
      </w:r>
    </w:p>
    <w:p>
      <w:pPr>
        <w:tabs>
          <w:tab w:pos="9000" w:val="left"/>
        </w:tabs>
        <w:ind w:left="0"/>
      </w:pPr>
      <w:hyperlink w:anchor="UFW">
        <w:r>
          <w:rPr>
            <w:color w:val="0563C1"/>
            <w:u w:val="single"/>
          </w:rPr>
          <w:t>UFW</w:t>
        </w:r>
      </w:hyperlink>
      <w:r>
        <w:tab/>
        <w:t>12</w:t>
      </w:r>
    </w:p>
    <w:p>
      <w:pPr>
        <w:tabs>
          <w:tab w:pos="9000" w:val="left"/>
        </w:tabs>
        <w:ind w:left="0"/>
      </w:pPr>
      <w:hyperlink w:anchor="sudo_Controls">
        <w:r>
          <w:rPr>
            <w:color w:val="0563C1"/>
            <w:u w:val="single"/>
          </w:rPr>
          <w:t>sudo Controls</w:t>
        </w:r>
      </w:hyperlink>
      <w:r>
        <w:tab/>
        <w:t>12</w:t>
      </w:r>
    </w:p>
    <w:p>
      <w:pPr>
        <w:tabs>
          <w:tab w:pos="9000" w:val="left"/>
        </w:tabs>
        <w:ind w:left="0"/>
      </w:pPr>
      <w:hyperlink w:anchor="QEMU_Guest_Agent">
        <w:r>
          <w:rPr>
            <w:color w:val="0563C1"/>
            <w:u w:val="single"/>
          </w:rPr>
          <w:t>QEMU Guest Agent</w:t>
        </w:r>
      </w:hyperlink>
      <w:r>
        <w:tab/>
        <w:t>13</w:t>
      </w:r>
    </w:p>
    <w:p>
      <w:pPr>
        <w:tabs>
          <w:tab w:pos="9000" w:val="left"/>
        </w:tabs>
        <w:ind w:left="0"/>
      </w:pPr>
      <w:hyperlink w:anchor="Centralized_Logging">
        <w:r>
          <w:rPr>
            <w:color w:val="0563C1"/>
            <w:u w:val="single"/>
          </w:rPr>
          <w:t>Centralized Logging</w:t>
        </w:r>
      </w:hyperlink>
      <w:r>
        <w:tab/>
        <w:t>13</w:t>
      </w:r>
    </w:p>
    <w:p>
      <w:pPr>
        <w:tabs>
          <w:tab w:pos="9000" w:val="left"/>
        </w:tabs>
        <w:ind w:left="0"/>
      </w:pPr>
      <w:hyperlink w:anchor="Backup_Architecture">
        <w:r>
          <w:rPr>
            <w:color w:val="0563C1"/>
            <w:u w:val="single"/>
          </w:rPr>
          <w:t>Backup Architecture</w:t>
        </w:r>
      </w:hyperlink>
      <w:r>
        <w:tab/>
        <w:t>13</w:t>
      </w:r>
    </w:p>
    <w:p>
      <w:pPr>
        <w:tabs>
          <w:tab w:pos="9000" w:val="left"/>
        </w:tabs>
        <w:ind w:left="0"/>
      </w:pPr>
      <w:hyperlink w:anchor="Snapshots">
        <w:r>
          <w:rPr>
            <w:color w:val="0563C1"/>
            <w:u w:val="single"/>
          </w:rPr>
          <w:t>Snapshots</w:t>
        </w:r>
      </w:hyperlink>
      <w:r>
        <w:tab/>
        <w:t>14</w:t>
      </w:r>
    </w:p>
    <w:p>
      <w:pPr>
        <w:tabs>
          <w:tab w:pos="9000" w:val="left"/>
        </w:tabs>
        <w:ind w:left="0"/>
      </w:pPr>
      <w:hyperlink w:anchor="Archive_Integrity">
        <w:r>
          <w:rPr>
            <w:color w:val="0563C1"/>
            <w:u w:val="single"/>
          </w:rPr>
          <w:t>Archive Integrity</w:t>
        </w:r>
      </w:hyperlink>
      <w:r>
        <w:tab/>
        <w:t>14</w:t>
      </w:r>
    </w:p>
    <w:p>
      <w:pPr>
        <w:tabs>
          <w:tab w:pos="9000" w:val="left"/>
        </w:tabs>
        <w:ind w:left="0"/>
      </w:pPr>
      <w:hyperlink w:anchor="Restore_Testing">
        <w:r>
          <w:rPr>
            <w:color w:val="0563C1"/>
            <w:u w:val="single"/>
          </w:rPr>
          <w:t>Restore Testing</w:t>
        </w:r>
      </w:hyperlink>
      <w:r>
        <w:tab/>
        <w:t>15</w:t>
      </w:r>
    </w:p>
    <w:p>
      <w:pPr>
        <w:tabs>
          <w:tab w:pos="9000" w:val="left"/>
        </w:tabs>
        <w:ind w:left="0"/>
      </w:pPr>
      <w:hyperlink w:anchor="Storage_Monitoring">
        <w:r>
          <w:rPr>
            <w:color w:val="0563C1"/>
            <w:u w:val="single"/>
          </w:rPr>
          <w:t>Storage Monitoring</w:t>
        </w:r>
      </w:hyperlink>
      <w:r>
        <w:tab/>
        <w:t>15</w:t>
      </w:r>
    </w:p>
    <w:p>
      <w:pPr>
        <w:tabs>
          <w:tab w:pos="9000" w:val="left"/>
        </w:tabs>
        <w:ind w:left="0"/>
      </w:pPr>
      <w:hyperlink w:anchor="PowerShell_Automation">
        <w:r>
          <w:rPr>
            <w:color w:val="0563C1"/>
            <w:u w:val="single"/>
          </w:rPr>
          <w:t>PowerShell Automation</w:t>
        </w:r>
      </w:hyperlink>
      <w:r>
        <w:tab/>
        <w:t>15</w:t>
      </w:r>
    </w:p>
    <w:p>
      <w:pPr>
        <w:tabs>
          <w:tab w:pos="9000" w:val="left"/>
        </w:tabs>
        <w:ind w:left="0"/>
      </w:pPr>
      <w:hyperlink w:anchor="Read_Only_Operations_Framework">
        <w:r>
          <w:rPr>
            <w:color w:val="0563C1"/>
            <w:u w:val="single"/>
          </w:rPr>
          <w:t>Read-Only Operations Framework</w:t>
        </w:r>
      </w:hyperlink>
      <w:r>
        <w:tab/>
        <w:t>15</w:t>
      </w:r>
    </w:p>
    <w:p>
      <w:pPr>
        <w:tabs>
          <w:tab w:pos="9000" w:val="left"/>
        </w:tabs>
        <w:ind w:left="0"/>
      </w:pPr>
      <w:hyperlink w:anchor="Authenticated_Target_Local_Inventories">
        <w:r>
          <w:rPr>
            <w:color w:val="0563C1"/>
            <w:u w:val="single"/>
          </w:rPr>
          <w:t>Authenticated Target-Local Inventories</w:t>
        </w:r>
      </w:hyperlink>
      <w:r>
        <w:tab/>
        <w:t>16</w:t>
      </w:r>
    </w:p>
    <w:p>
      <w:pPr>
        <w:tabs>
          <w:tab w:pos="9000" w:val="left"/>
        </w:tabs>
        <w:ind w:left="0"/>
      </w:pPr>
      <w:hyperlink w:anchor="Troubleshooting_and_Remediation">
        <w:r>
          <w:rPr>
            <w:color w:val="0563C1"/>
            <w:u w:val="single"/>
          </w:rPr>
          <w:t>Troubleshooting and Remediation</w:t>
        </w:r>
      </w:hyperlink>
      <w:r>
        <w:tab/>
        <w:t>16</w:t>
      </w:r>
    </w:p>
    <w:p>
      <w:pPr>
        <w:tabs>
          <w:tab w:pos="9000" w:val="left"/>
        </w:tabs>
        <w:ind w:left="0"/>
      </w:pPr>
      <w:hyperlink w:anchor="Known_Limitations">
        <w:r>
          <w:rPr>
            <w:color w:val="0563C1"/>
            <w:u w:val="single"/>
          </w:rPr>
          <w:t>Known Limitations</w:t>
        </w:r>
      </w:hyperlink>
      <w:r>
        <w:tab/>
        <w:t>16</w:t>
      </w:r>
    </w:p>
    <w:p>
      <w:pPr>
        <w:tabs>
          <w:tab w:pos="9000" w:val="left"/>
        </w:tabs>
        <w:ind w:left="0"/>
      </w:pPr>
      <w:hyperlink w:anchor="Skills_Demonstrated">
        <w:r>
          <w:rPr>
            <w:color w:val="0563C1"/>
            <w:u w:val="single"/>
          </w:rPr>
          <w:t>Skills Demonstrated</w:t>
        </w:r>
      </w:hyperlink>
      <w:r>
        <w:tab/>
        <w:t>17</w:t>
      </w:r>
    </w:p>
    <w:p>
      <w:pPr>
        <w:tabs>
          <w:tab w:pos="9000" w:val="left"/>
        </w:tabs>
        <w:ind w:left="0"/>
      </w:pPr>
      <w:hyperlink w:anchor="Conclusion">
        <w:r>
          <w:rPr>
            <w:color w:val="0563C1"/>
            <w:u w:val="single"/>
          </w:rPr>
          <w:t>Conclusion</w:t>
        </w:r>
      </w:hyperlink>
      <w:r>
        <w:tab/>
        <w:t>17</w:t>
      </w:r>
    </w:p>
    <w:p>
      <w:pPr>
        <w:tabs>
          <w:tab w:pos="9000" w:val="left"/>
        </w:tabs>
        <w:ind w:left="0"/>
      </w:pPr>
      <w:hyperlink w:anchor="References">
        <w:r>
          <w:rPr>
            <w:color w:val="0563C1"/>
            <w:u w:val="single"/>
          </w:rPr>
          <w:t>References</w:t>
        </w:r>
      </w:hyperlink>
      <w:r>
        <w:tab/>
        <w:t>17</w:t>
      </w:r>
    </w:p>
    <w:p>
      <w:pPr>
        <w:tabs>
          <w:tab w:pos="9000" w:val="left"/>
        </w:tabs>
        <w:ind w:left="0"/>
      </w:pPr>
      <w:hyperlink w:anchor="Appendices">
        <w:r>
          <w:rPr>
            <w:color w:val="0563C1"/>
            <w:u w:val="single"/>
          </w:rPr>
          <w:t>Appendices</w:t>
        </w:r>
      </w:hyperlink>
      <w:r>
        <w:tab/>
        <w:t>17</w:t>
      </w:r>
    </w:p>
    <w:p>
      <w:r>
        <w:br w:type="page"/>
      </w:r>
    </w:p>
    <w:p>
      <w:bookmarkStart w:id="10" w:name="Abstract"/>
      <w:pPr>
        <w:pStyle w:val="Heading1"/>
      </w:pPr>
      <w:r>
        <w:t>Abstract</w:t>
      </w:r>
      <w:bookmarkEnd w:id="10"/>
    </w:p>
    <w:p>
      <w:pPr>
        <w:spacing w:after="80"/>
      </w:pPr>
      <w:hyperlink w:anchor="TOC">
        <w:r>
          <w:rPr>
            <w:color w:val="0563C1"/>
            <w:u w:val="single"/>
          </w:rPr>
          <w:t>Back to Table of Contents</w:t>
        </w:r>
      </w:hyperlink>
    </w:p>
    <w:p>
      <w:r>
        <w:t>This document presents a professional, public-safe description of Jeremy Fontenot's personal on-premises home lab. It is written for recruiters, hiring managers, and technical reviewers who need a clear view of the environment, the evidence behind the claims, and the boundaries around what is not being claimed.</w:t>
      </w:r>
    </w:p>
    <w:p>
      <w:r>
        <w:t>The lab supports systems administration and infrastructure operations practice while Jeremy's professional positioning remains anchored in experienced Service Desk and IT Support work. The evidence set demonstrates disciplined validation, documentation, troubleshooting, and automation habits without presenting personal lab activity as employer production administration.</w:t>
      </w:r>
    </w:p>
    <w:p>
      <w:bookmarkStart w:id="11" w:name="Purpose_and_Scope"/>
      <w:pPr>
        <w:pStyle w:val="Heading1"/>
      </w:pPr>
      <w:r>
        <w:t>Purpose and Scope</w:t>
      </w:r>
      <w:bookmarkEnd w:id="11"/>
    </w:p>
    <w:p>
      <w:pPr>
        <w:spacing w:after="80"/>
      </w:pPr>
      <w:hyperlink w:anchor="TOC">
        <w:r>
          <w:rPr>
            <w:color w:val="0563C1"/>
            <w:u w:val="single"/>
          </w:rPr>
          <w:t>Back to Table of Contents</w:t>
        </w:r>
      </w:hyperlink>
    </w:p>
    <w:p>
      <w:r>
        <w:t>The purpose of this documentation is to explain what exists in the personal lab, why each component matters, how evidence was collected, and how claims are classified. The scope includes the physical host, Proxmox virtualization, pfSense routing, Windows identity services, Linux integration, backup architecture, logging, automation, validation workflows, and known limitations.</w:t>
      </w:r>
    </w:p>
    <w:p>
      <w:r>
        <w:t>The document intentionally avoids unsupported claims of enterprise scale, guaranteed availability, production responsibility, or full security assurance. It focuses on what a reviewer can inspect from sanitized artifacts, source summaries, manifests, hashes, and current-state validation records.</w:t>
      </w:r>
    </w:p>
    <w:p>
      <w:bookmarkStart w:id="12" w:name="Environment_Boundaries"/>
      <w:pPr>
        <w:pStyle w:val="Heading1"/>
      </w:pPr>
      <w:r>
        <w:t>Environment Boundaries</w:t>
      </w:r>
      <w:bookmarkEnd w:id="12"/>
    </w:p>
    <w:p>
      <w:pPr>
        <w:spacing w:after="80"/>
      </w:pPr>
      <w:hyperlink w:anchor="TOC">
        <w:r>
          <w:rPr>
            <w:color w:val="0563C1"/>
            <w:u w:val="single"/>
          </w:rPr>
          <w:t>Back to Table of Contents</w:t>
        </w:r>
      </w:hyperlink>
    </w:p>
    <w:p>
      <w:r>
        <w:t>The environment is a personal nonproduction home lab. It is appropriate evidence for technical initiative, hands-on practice, systems thinking, and documentation discipline. It is not a claim of employer production administration, client infrastructure ownership, or operations at enterprise scale.</w:t>
      </w:r>
    </w:p>
    <w:p>
      <w:r>
        <w:t>Public artifacts are sanitized. Private credentials, tokens, cookies, private keys, raw logs with sensitive values, and administrative secrets are not published. Historical evidence remains available only where it helps reviewers understand chronology, not as a current-state label.</w:t>
      </w:r>
    </w:p>
    <w:p>
      <w:bookmarkStart w:id="13" w:name="Evidence_Methodology"/>
      <w:pPr>
        <w:pStyle w:val="Heading1"/>
      </w:pPr>
      <w:r>
        <w:t>Evidence Methodology</w:t>
      </w:r>
      <w:bookmarkEnd w:id="13"/>
    </w:p>
    <w:p>
      <w:pPr>
        <w:spacing w:after="80"/>
      </w:pPr>
      <w:hyperlink w:anchor="TOC">
        <w:r>
          <w:rPr>
            <w:color w:val="0563C1"/>
            <w:u w:val="single"/>
          </w:rPr>
          <w:t>Back to Table of Contents</w:t>
        </w:r>
      </w:hyperlink>
    </w:p>
    <w:p>
      <w:r>
        <w:t>Evidence precedence favors current command output, API output, guest-agent output, authenticated target-local inventory, and explicit repository validation. Older screenshots and documentation remain useful when clearly labeled as historical or when current records independently support the same claim.</w:t>
      </w:r>
    </w:p>
    <w:p>
      <w:r>
        <w:t>The methodology separates observation from interpretation. A TCP timeout is reported as a timeout, not as proof of an outage. A configuration record is reported as configured unless a test or authenticated inventory supports a stronger statement.</w:t>
      </w:r>
    </w:p>
    <w:p>
      <w:pPr>
        <w:jc w:val="center"/>
      </w:pPr>
      <w:r>
        <w:drawing>
          <wp:inline xmlns:a="http://schemas.openxmlformats.org/drawingml/2006/main" xmlns:pic="http://schemas.openxmlformats.org/drawingml/2006/picture">
            <wp:extent cx="5577840" cy="2649474"/>
            <wp:docPr id="1" name="Picture 1" title="Figure 2" descr="Evidence workflow from read-only collection through inventory, classification, hash manifest, and publication."/>
            <wp:cNvGraphicFramePr>
              <a:graphicFrameLocks noChangeAspect="1"/>
            </wp:cNvGraphicFramePr>
            <a:graphic>
              <a:graphicData uri="http://schemas.openxmlformats.org/drawingml/2006/picture">
                <pic:pic>
                  <pic:nvPicPr>
                    <pic:cNvPr id="0" name="evidence-methodology.png"/>
                    <pic:cNvPicPr/>
                  </pic:nvPicPr>
                  <pic:blipFill>
                    <a:blip r:embed="rId10"/>
                    <a:stretch>
                      <a:fillRect/>
                    </a:stretch>
                  </pic:blipFill>
                  <pic:spPr>
                    <a:xfrm>
                      <a:off x="0" y="0"/>
                      <a:ext cx="5577840" cy="2649474"/>
                    </a:xfrm>
                    <a:prstGeom prst="rect"/>
                  </pic:spPr>
                </pic:pic>
              </a:graphicData>
            </a:graphic>
          </wp:inline>
        </w:drawing>
      </w:r>
    </w:p>
    <w:p>
      <w:pPr>
        <w:pStyle w:val="Caption"/>
      </w:pPr>
      <w:r>
        <w:t>Figure 2. Evidence methodology from read-only collection to public-safe publication.</w:t>
      </w:r>
    </w:p>
    <w:p>
      <w:bookmarkStart w:id="14" w:name="Evidence_Classification"/>
      <w:pPr>
        <w:pStyle w:val="Heading1"/>
      </w:pPr>
      <w:r>
        <w:t>Evidence Classification</w:t>
      </w:r>
      <w:bookmarkEnd w:id="14"/>
    </w:p>
    <w:p>
      <w:pPr>
        <w:spacing w:after="80"/>
      </w:pPr>
      <w:hyperlink w:anchor="TOC">
        <w:r>
          <w:rPr>
            <w:color w:val="0563C1"/>
            <w:u w:val="single"/>
          </w:rPr>
          <w:t>Back to Table of Contents</w:t>
        </w:r>
      </w:hyperlink>
    </w:p>
    <w:p>
      <w:r>
        <w:t>Claims are classified as Validated, Tested, Configured, Historical, Limitation, or Inconclusive. Validated means direct evidence supports the stated behavior or state. Tested means a relevant check produced a recorded result, but the result may be narrower than the broad service claim.</w:t>
      </w:r>
    </w:p>
    <w:p>
      <w:r>
        <w:t>This classification model helps technical reviewers trust the strongest statements while still seeing what remains unresolved. It also keeps recruiter-facing copy readable by moving dense proof details into manifests and appendices.</w:t>
      </w:r>
    </w:p>
    <w:p>
      <w:pPr>
        <w:pStyle w:val="Caption"/>
      </w:pPr>
      <w:r>
        <w:t>Table 1. Evidence classification model.</w:t>
      </w:r>
    </w:p>
    <w:tbl>
      <w:tblPr>
        <w:tblStyle w:val="TableGrid"/>
        <w:tblW w:type="dxa" w:w="9360"/>
        <w:jc w:val="center"/>
        <w:tblLook w:firstColumn="1" w:firstRow="1" w:lastColumn="0" w:lastRow="0" w:noHBand="0" w:noVBand="1" w:val="04A0"/>
        <w:tblInd w:type="dxa" w:w="120"/>
      </w:tblPr>
      <w:tblGrid>
        <w:gridCol w:w="1700"/>
        <w:gridCol w:w="3800"/>
        <w:gridCol w:w="3860"/>
      </w:tblGrid>
      <w:tr>
        <w:trPr>
          <w:tblHeader w:val="true"/>
        </w:trPr>
        <w:tc>
          <w:tcPr>
            <w:tcW w:type="dxa" w:w="1700"/>
            <w:tcMar>
              <w:top w:w="80" w:type="dxa"/>
              <w:bottom w:w="80" w:type="dxa"/>
              <w:start w:w="120" w:type="dxa"/>
              <w:end w:w="120" w:type="dxa"/>
            </w:tcMar>
            <w:vAlign w:val="center"/>
            <w:shd w:fill="E8EEF5"/>
          </w:tcPr>
          <w:p>
            <w:pPr>
              <w:spacing w:after="0"/>
            </w:pPr>
            <w:r>
              <w:rPr>
                <w:rFonts w:ascii="Calibri" w:hAnsi="Calibri"/>
                <w:b/>
                <w:sz w:val="18"/>
              </w:rPr>
              <w:t>Classification</w:t>
            </w:r>
          </w:p>
        </w:tc>
        <w:tc>
          <w:tcPr>
            <w:tcW w:type="dxa" w:w="3800"/>
            <w:tcMar>
              <w:top w:w="80" w:type="dxa"/>
              <w:bottom w:w="80" w:type="dxa"/>
              <w:start w:w="120" w:type="dxa"/>
              <w:end w:w="120" w:type="dxa"/>
            </w:tcMar>
            <w:vAlign w:val="center"/>
            <w:shd w:fill="E8EEF5"/>
          </w:tcPr>
          <w:p>
            <w:pPr>
              <w:spacing w:after="0"/>
            </w:pPr>
            <w:r>
              <w:rPr>
                <w:rFonts w:ascii="Calibri" w:hAnsi="Calibri"/>
                <w:b/>
                <w:sz w:val="18"/>
              </w:rPr>
              <w:t>Use</w:t>
            </w:r>
          </w:p>
        </w:tc>
        <w:tc>
          <w:tcPr>
            <w:tcW w:type="dxa" w:w="3860"/>
            <w:tcMar>
              <w:top w:w="80" w:type="dxa"/>
              <w:bottom w:w="80" w:type="dxa"/>
              <w:start w:w="120" w:type="dxa"/>
              <w:end w:w="120" w:type="dxa"/>
            </w:tcMar>
            <w:vAlign w:val="center"/>
            <w:shd w:fill="E8EEF5"/>
          </w:tcPr>
          <w:p>
            <w:pPr>
              <w:spacing w:after="0"/>
            </w:pPr>
            <w:r>
              <w:rPr>
                <w:rFonts w:ascii="Calibri" w:hAnsi="Calibri"/>
                <w:b/>
                <w:sz w:val="18"/>
              </w:rPr>
              <w:t>Boundary</w:t>
            </w:r>
          </w:p>
        </w:tc>
      </w:tr>
      <w:tr>
        <w:tc>
          <w:tcPr>
            <w:tcW w:type="dxa" w:w="1700"/>
            <w:vAlign w:val="center"/>
          </w:tcPr>
          <w:p>
            <w:pPr>
              <w:spacing w:after="0"/>
            </w:pPr>
            <w:r>
              <w:rPr>
                <w:rFonts w:ascii="Calibri" w:hAnsi="Calibri"/>
                <w:b w:val="0"/>
                <w:sz w:val="18"/>
              </w:rPr>
              <w:t>Validated</w:t>
            </w:r>
          </w:p>
        </w:tc>
        <w:tc>
          <w:tcPr>
            <w:tcW w:type="dxa" w:w="3800"/>
            <w:vAlign w:val="center"/>
          </w:tcPr>
          <w:p>
            <w:pPr>
              <w:spacing w:after="0"/>
            </w:pPr>
            <w:r>
              <w:rPr>
                <w:rFonts w:ascii="Calibri" w:hAnsi="Calibri"/>
                <w:b w:val="0"/>
                <w:sz w:val="18"/>
              </w:rPr>
              <w:t>Direct evidence confirms the state or behavior.</w:t>
            </w:r>
          </w:p>
        </w:tc>
        <w:tc>
          <w:tcPr>
            <w:tcW w:type="dxa" w:w="3860"/>
            <w:vAlign w:val="center"/>
          </w:tcPr>
          <w:p>
            <w:pPr>
              <w:spacing w:after="0"/>
            </w:pPr>
            <w:r>
              <w:rPr>
                <w:rFonts w:ascii="Calibri" w:hAnsi="Calibri"/>
                <w:b w:val="0"/>
                <w:sz w:val="18"/>
              </w:rPr>
              <w:t>Used only where source artifacts support the claim.</w:t>
            </w:r>
          </w:p>
        </w:tc>
      </w:tr>
      <w:tr>
        <w:tc>
          <w:tcPr>
            <w:tcW w:type="dxa" w:w="1700"/>
            <w:vAlign w:val="center"/>
          </w:tcPr>
          <w:p>
            <w:pPr>
              <w:spacing w:after="0"/>
            </w:pPr>
            <w:r>
              <w:rPr>
                <w:rFonts w:ascii="Calibri" w:hAnsi="Calibri"/>
                <w:b w:val="0"/>
                <w:sz w:val="18"/>
              </w:rPr>
              <w:t>Tested</w:t>
            </w:r>
          </w:p>
        </w:tc>
        <w:tc>
          <w:tcPr>
            <w:tcW w:type="dxa" w:w="3800"/>
            <w:vAlign w:val="center"/>
          </w:tcPr>
          <w:p>
            <w:pPr>
              <w:spacing w:after="0"/>
            </w:pPr>
            <w:r>
              <w:rPr>
                <w:rFonts w:ascii="Calibri" w:hAnsi="Calibri"/>
                <w:b w:val="0"/>
                <w:sz w:val="18"/>
              </w:rPr>
              <w:t>A relevant test produced a recorded result.</w:t>
            </w:r>
          </w:p>
        </w:tc>
        <w:tc>
          <w:tcPr>
            <w:tcW w:type="dxa" w:w="3860"/>
            <w:vAlign w:val="center"/>
          </w:tcPr>
          <w:p>
            <w:pPr>
              <w:spacing w:after="0"/>
            </w:pPr>
            <w:r>
              <w:rPr>
                <w:rFonts w:ascii="Calibri" w:hAnsi="Calibri"/>
                <w:b w:val="0"/>
                <w:sz w:val="18"/>
              </w:rPr>
              <w:t>May be narrower than full service health.</w:t>
            </w:r>
          </w:p>
        </w:tc>
      </w:tr>
      <w:tr>
        <w:tc>
          <w:tcPr>
            <w:tcW w:type="dxa" w:w="1700"/>
            <w:vAlign w:val="center"/>
          </w:tcPr>
          <w:p>
            <w:pPr>
              <w:spacing w:after="0"/>
            </w:pPr>
            <w:r>
              <w:rPr>
                <w:rFonts w:ascii="Calibri" w:hAnsi="Calibri"/>
                <w:b w:val="0"/>
                <w:sz w:val="18"/>
              </w:rPr>
              <w:t>Configured</w:t>
            </w:r>
          </w:p>
        </w:tc>
        <w:tc>
          <w:tcPr>
            <w:tcW w:type="dxa" w:w="3800"/>
            <w:vAlign w:val="center"/>
          </w:tcPr>
          <w:p>
            <w:pPr>
              <w:spacing w:after="0"/>
            </w:pPr>
            <w:r>
              <w:rPr>
                <w:rFonts w:ascii="Calibri" w:hAnsi="Calibri"/>
                <w:b w:val="0"/>
                <w:sz w:val="18"/>
              </w:rPr>
              <w:t>Configuration is present.</w:t>
            </w:r>
          </w:p>
        </w:tc>
        <w:tc>
          <w:tcPr>
            <w:tcW w:type="dxa" w:w="3860"/>
            <w:vAlign w:val="center"/>
          </w:tcPr>
          <w:p>
            <w:pPr>
              <w:spacing w:after="0"/>
            </w:pPr>
            <w:r>
              <w:rPr>
                <w:rFonts w:ascii="Calibri" w:hAnsi="Calibri"/>
                <w:b w:val="0"/>
                <w:sz w:val="18"/>
              </w:rPr>
              <w:t>Behavior may require a separate validation.</w:t>
            </w:r>
          </w:p>
        </w:tc>
      </w:tr>
      <w:tr>
        <w:tc>
          <w:tcPr>
            <w:tcW w:type="dxa" w:w="1700"/>
            <w:vAlign w:val="center"/>
          </w:tcPr>
          <w:p>
            <w:pPr>
              <w:spacing w:after="0"/>
            </w:pPr>
            <w:r>
              <w:rPr>
                <w:rFonts w:ascii="Calibri" w:hAnsi="Calibri"/>
                <w:b w:val="0"/>
                <w:sz w:val="18"/>
              </w:rPr>
              <w:t>Historical</w:t>
            </w:r>
          </w:p>
        </w:tc>
        <w:tc>
          <w:tcPr>
            <w:tcW w:type="dxa" w:w="3800"/>
            <w:vAlign w:val="center"/>
          </w:tcPr>
          <w:p>
            <w:pPr>
              <w:spacing w:after="0"/>
            </w:pPr>
            <w:r>
              <w:rPr>
                <w:rFonts w:ascii="Calibri" w:hAnsi="Calibri"/>
                <w:b w:val="0"/>
                <w:sz w:val="18"/>
              </w:rPr>
              <w:t>Useful retained context.</w:t>
            </w:r>
          </w:p>
        </w:tc>
        <w:tc>
          <w:tcPr>
            <w:tcW w:type="dxa" w:w="3860"/>
            <w:vAlign w:val="center"/>
          </w:tcPr>
          <w:p>
            <w:pPr>
              <w:spacing w:after="0"/>
            </w:pPr>
            <w:r>
              <w:rPr>
                <w:rFonts w:ascii="Calibri" w:hAnsi="Calibri"/>
                <w:b w:val="0"/>
                <w:sz w:val="18"/>
              </w:rPr>
              <w:t>Not promoted as current state.</w:t>
            </w:r>
          </w:p>
        </w:tc>
      </w:tr>
      <w:tr>
        <w:tc>
          <w:tcPr>
            <w:tcW w:type="dxa" w:w="1700"/>
            <w:vAlign w:val="center"/>
          </w:tcPr>
          <w:p>
            <w:pPr>
              <w:spacing w:after="0"/>
            </w:pPr>
            <w:r>
              <w:rPr>
                <w:rFonts w:ascii="Calibri" w:hAnsi="Calibri"/>
                <w:b w:val="0"/>
                <w:sz w:val="18"/>
              </w:rPr>
              <w:t>Limitation</w:t>
            </w:r>
          </w:p>
        </w:tc>
        <w:tc>
          <w:tcPr>
            <w:tcW w:type="dxa" w:w="3800"/>
            <w:vAlign w:val="center"/>
          </w:tcPr>
          <w:p>
            <w:pPr>
              <w:spacing w:after="0"/>
            </w:pPr>
            <w:r>
              <w:rPr>
                <w:rFonts w:ascii="Calibri" w:hAnsi="Calibri"/>
                <w:b w:val="0"/>
                <w:sz w:val="18"/>
              </w:rPr>
              <w:t>Known gap or unsupported conclusion.</w:t>
            </w:r>
          </w:p>
        </w:tc>
        <w:tc>
          <w:tcPr>
            <w:tcW w:type="dxa" w:w="3860"/>
            <w:vAlign w:val="center"/>
          </w:tcPr>
          <w:p>
            <w:pPr>
              <w:spacing w:after="0"/>
            </w:pPr>
            <w:r>
              <w:rPr>
                <w:rFonts w:ascii="Calibri" w:hAnsi="Calibri"/>
                <w:b w:val="0"/>
                <w:sz w:val="18"/>
              </w:rPr>
              <w:t>Kept visible for reviewers.</w:t>
            </w:r>
          </w:p>
        </w:tc>
      </w:tr>
    </w:tbl>
    <w:p/>
    <w:p>
      <w:bookmarkStart w:id="15" w:name="Physical_Server_Architecture"/>
      <w:pPr>
        <w:pStyle w:val="Heading1"/>
      </w:pPr>
      <w:r>
        <w:t>Physical Server Architecture</w:t>
      </w:r>
      <w:bookmarkEnd w:id="15"/>
    </w:p>
    <w:p>
      <w:pPr>
        <w:spacing w:after="80"/>
      </w:pPr>
      <w:hyperlink w:anchor="TOC">
        <w:r>
          <w:rPr>
            <w:color w:val="0563C1"/>
            <w:u w:val="single"/>
          </w:rPr>
          <w:t>Back to Table of Contents</w:t>
        </w:r>
      </w:hyperlink>
    </w:p>
    <w:p>
      <w:r>
        <w:t>The physical lab host is documented as a Dell PowerEdge R710. It provides the hardware foundation for the virtualization environment and supports the lab's role as a practical infrastructure learning platform.</w:t>
      </w:r>
    </w:p>
    <w:p>
      <w:r>
        <w:t>The server is presented as personal lab equipment. Hardware ownership and capacity are not extended into claims about production-grade resilience, clustered high availability, or enterprise hardware lifecycle management.</w:t>
      </w:r>
    </w:p>
    <w:p>
      <w:pPr>
        <w:jc w:val="center"/>
      </w:pPr>
      <w:r>
        <w:drawing>
          <wp:inline xmlns:a="http://schemas.openxmlformats.org/drawingml/2006/main" xmlns:pic="http://schemas.openxmlformats.org/drawingml/2006/picture">
            <wp:extent cx="5577840" cy="2649474"/>
            <wp:docPr id="2" name="Picture 2" title="Figure 1" descr="Architecture diagram showing PowerEdge host, Proxmox, pfSense, DC01, WS01, Linux01, and backup storage."/>
            <wp:cNvGraphicFramePr>
              <a:graphicFrameLocks noChangeAspect="1"/>
            </wp:cNvGraphicFramePr>
            <a:graphic>
              <a:graphicData uri="http://schemas.openxmlformats.org/drawingml/2006/picture">
                <pic:pic>
                  <pic:nvPicPr>
                    <pic:cNvPr id="0" name="architecture-summary.png"/>
                    <pic:cNvPicPr/>
                  </pic:nvPicPr>
                  <pic:blipFill>
                    <a:blip r:embed="rId11"/>
                    <a:stretch>
                      <a:fillRect/>
                    </a:stretch>
                  </pic:blipFill>
                  <pic:spPr>
                    <a:xfrm>
                      <a:off x="0" y="0"/>
                      <a:ext cx="5577840" cy="2649474"/>
                    </a:xfrm>
                    <a:prstGeom prst="rect"/>
                  </pic:spPr>
                </pic:pic>
              </a:graphicData>
            </a:graphic>
          </wp:inline>
        </w:drawing>
      </w:r>
    </w:p>
    <w:p>
      <w:pPr>
        <w:pStyle w:val="Caption"/>
      </w:pPr>
      <w:r>
        <w:t>Figure 1. Current supported home-lab architecture summary.</w:t>
      </w:r>
    </w:p>
    <w:p>
      <w:bookmarkStart w:id="16" w:name="Proxmox_Virtualization"/>
      <w:pPr>
        <w:pStyle w:val="Heading1"/>
      </w:pPr>
      <w:r>
        <w:t>Proxmox Virtualization</w:t>
      </w:r>
      <w:bookmarkEnd w:id="16"/>
    </w:p>
    <w:p>
      <w:pPr>
        <w:spacing w:after="80"/>
      </w:pPr>
      <w:hyperlink w:anchor="TOC">
        <w:r>
          <w:rPr>
            <w:color w:val="0563C1"/>
            <w:u w:val="single"/>
          </w:rPr>
          <w:t>Back to Table of Contents</w:t>
        </w:r>
      </w:hyperlink>
    </w:p>
    <w:p>
      <w:r>
        <w:t>Current source records identify Proxmox VE 9.2.3 as the virtualization platform. The primary supported virtual machines are VM 100 pfSense, VM 200 DC01, VM 300 WS01, and VM 400 Linux01.</w:t>
      </w:r>
    </w:p>
    <w:p>
      <w:r>
        <w:t>Proxmox evidence supports running VM inventory, storage visibility, backup job visibility, Linux01 VLAN tagging, and QEMU guest agent status where available. Guest operating system claims are strengthened through target-local inventories where Proxmox metadata alone is insufficient.</w:t>
      </w:r>
    </w:p>
    <w:p>
      <w:pPr>
        <w:pStyle w:val="Caption"/>
      </w:pPr>
      <w:r>
        <w:t>Table 2. Current primary VM inventory.</w:t>
      </w:r>
    </w:p>
    <w:tbl>
      <w:tblPr>
        <w:tblStyle w:val="TableGrid"/>
        <w:tblW w:type="dxa" w:w="9360"/>
        <w:jc w:val="center"/>
        <w:tblLook w:firstColumn="1" w:firstRow="1" w:lastColumn="0" w:lastRow="0" w:noHBand="0" w:noVBand="1" w:val="04A0"/>
        <w:tblInd w:type="dxa" w:w="120"/>
      </w:tblPr>
      <w:tblGrid>
        <w:gridCol w:w="900"/>
        <w:gridCol w:w="1600"/>
        <w:gridCol w:w="3150"/>
        <w:gridCol w:w="3710"/>
      </w:tblGrid>
      <w:tr>
        <w:trPr>
          <w:tblHeader w:val="true"/>
        </w:trPr>
        <w:tc>
          <w:tcPr>
            <w:tcW w:type="dxa" w:w="900"/>
            <w:tcMar>
              <w:top w:w="80" w:type="dxa"/>
              <w:bottom w:w="80" w:type="dxa"/>
              <w:start w:w="120" w:type="dxa"/>
              <w:end w:w="120" w:type="dxa"/>
            </w:tcMar>
            <w:vAlign w:val="center"/>
            <w:shd w:fill="E8EEF5"/>
          </w:tcPr>
          <w:p>
            <w:pPr>
              <w:spacing w:after="0"/>
            </w:pPr>
            <w:r>
              <w:rPr>
                <w:rFonts w:ascii="Calibri" w:hAnsi="Calibri"/>
                <w:b/>
                <w:sz w:val="18"/>
              </w:rPr>
              <w:t>VM</w:t>
            </w:r>
          </w:p>
        </w:tc>
        <w:tc>
          <w:tcPr>
            <w:tcW w:type="dxa" w:w="1600"/>
            <w:tcMar>
              <w:top w:w="80" w:type="dxa"/>
              <w:bottom w:w="80" w:type="dxa"/>
              <w:start w:w="120" w:type="dxa"/>
              <w:end w:w="120" w:type="dxa"/>
            </w:tcMar>
            <w:vAlign w:val="center"/>
            <w:shd w:fill="E8EEF5"/>
          </w:tcPr>
          <w:p>
            <w:pPr>
              <w:spacing w:after="0"/>
            </w:pPr>
            <w:r>
              <w:rPr>
                <w:rFonts w:ascii="Calibri" w:hAnsi="Calibri"/>
                <w:b/>
                <w:sz w:val="18"/>
              </w:rPr>
              <w:t>System</w:t>
            </w:r>
          </w:p>
        </w:tc>
        <w:tc>
          <w:tcPr>
            <w:tcW w:type="dxa" w:w="3150"/>
            <w:tcMar>
              <w:top w:w="80" w:type="dxa"/>
              <w:bottom w:w="80" w:type="dxa"/>
              <w:start w:w="120" w:type="dxa"/>
              <w:end w:w="120" w:type="dxa"/>
            </w:tcMar>
            <w:vAlign w:val="center"/>
            <w:shd w:fill="E8EEF5"/>
          </w:tcPr>
          <w:p>
            <w:pPr>
              <w:spacing w:after="0"/>
            </w:pPr>
            <w:r>
              <w:rPr>
                <w:rFonts w:ascii="Calibri" w:hAnsi="Calibri"/>
                <w:b/>
                <w:sz w:val="18"/>
              </w:rPr>
              <w:t>Supported role</w:t>
            </w:r>
          </w:p>
        </w:tc>
        <w:tc>
          <w:tcPr>
            <w:tcW w:type="dxa" w:w="3710"/>
            <w:tcMar>
              <w:top w:w="80" w:type="dxa"/>
              <w:bottom w:w="80" w:type="dxa"/>
              <w:start w:w="120" w:type="dxa"/>
              <w:end w:w="120" w:type="dxa"/>
            </w:tcMar>
            <w:vAlign w:val="center"/>
            <w:shd w:fill="E8EEF5"/>
          </w:tcPr>
          <w:p>
            <w:pPr>
              <w:spacing w:after="0"/>
            </w:pPr>
            <w:r>
              <w:rPr>
                <w:rFonts w:ascii="Calibri" w:hAnsi="Calibri"/>
                <w:b/>
                <w:sz w:val="18"/>
              </w:rPr>
              <w:t>Evidence boundary</w:t>
            </w:r>
          </w:p>
        </w:tc>
      </w:tr>
      <w:tr>
        <w:tc>
          <w:tcPr>
            <w:tcW w:type="dxa" w:w="900"/>
            <w:vAlign w:val="center"/>
          </w:tcPr>
          <w:p>
            <w:pPr>
              <w:spacing w:after="0"/>
            </w:pPr>
            <w:r>
              <w:rPr>
                <w:rFonts w:ascii="Calibri" w:hAnsi="Calibri"/>
                <w:b w:val="0"/>
                <w:sz w:val="18"/>
              </w:rPr>
              <w:t>100</w:t>
            </w:r>
          </w:p>
        </w:tc>
        <w:tc>
          <w:tcPr>
            <w:tcW w:type="dxa" w:w="1600"/>
            <w:vAlign w:val="center"/>
          </w:tcPr>
          <w:p>
            <w:pPr>
              <w:spacing w:after="0"/>
            </w:pPr>
            <w:r>
              <w:rPr>
                <w:rFonts w:ascii="Calibri" w:hAnsi="Calibri"/>
                <w:b w:val="0"/>
                <w:sz w:val="18"/>
              </w:rPr>
              <w:t>pfSense</w:t>
            </w:r>
          </w:p>
        </w:tc>
        <w:tc>
          <w:tcPr>
            <w:tcW w:type="dxa" w:w="3150"/>
            <w:vAlign w:val="center"/>
          </w:tcPr>
          <w:p>
            <w:pPr>
              <w:spacing w:after="0"/>
            </w:pPr>
            <w:r>
              <w:rPr>
                <w:rFonts w:ascii="Calibri" w:hAnsi="Calibri"/>
                <w:b w:val="0"/>
                <w:sz w:val="18"/>
              </w:rPr>
              <w:t>Firewall and routing VM</w:t>
            </w:r>
          </w:p>
        </w:tc>
        <w:tc>
          <w:tcPr>
            <w:tcW w:type="dxa" w:w="3710"/>
            <w:vAlign w:val="center"/>
          </w:tcPr>
          <w:p>
            <w:pPr>
              <w:spacing w:after="0"/>
            </w:pPr>
            <w:r>
              <w:rPr>
                <w:rFonts w:ascii="Calibri" w:hAnsi="Calibri"/>
                <w:b w:val="0"/>
                <w:sz w:val="18"/>
              </w:rPr>
              <w:t>Configuration context; not a full firewall audit.</w:t>
            </w:r>
          </w:p>
        </w:tc>
      </w:tr>
      <w:tr>
        <w:tc>
          <w:tcPr>
            <w:tcW w:type="dxa" w:w="900"/>
            <w:vAlign w:val="center"/>
          </w:tcPr>
          <w:p>
            <w:pPr>
              <w:spacing w:after="0"/>
            </w:pPr>
            <w:r>
              <w:rPr>
                <w:rFonts w:ascii="Calibri" w:hAnsi="Calibri"/>
                <w:b w:val="0"/>
                <w:sz w:val="18"/>
              </w:rPr>
              <w:t>200</w:t>
            </w:r>
          </w:p>
        </w:tc>
        <w:tc>
          <w:tcPr>
            <w:tcW w:type="dxa" w:w="1600"/>
            <w:vAlign w:val="center"/>
          </w:tcPr>
          <w:p>
            <w:pPr>
              <w:spacing w:after="0"/>
            </w:pPr>
            <w:r>
              <w:rPr>
                <w:rFonts w:ascii="Calibri" w:hAnsi="Calibri"/>
                <w:b w:val="0"/>
                <w:sz w:val="18"/>
              </w:rPr>
              <w:t>DC01</w:t>
            </w:r>
          </w:p>
        </w:tc>
        <w:tc>
          <w:tcPr>
            <w:tcW w:type="dxa" w:w="3150"/>
            <w:vAlign w:val="center"/>
          </w:tcPr>
          <w:p>
            <w:pPr>
              <w:spacing w:after="0"/>
            </w:pPr>
            <w:r>
              <w:rPr>
                <w:rFonts w:ascii="Calibri" w:hAnsi="Calibri"/>
                <w:b w:val="0"/>
                <w:sz w:val="18"/>
              </w:rPr>
              <w:t>Windows Server domain controller</w:t>
            </w:r>
          </w:p>
        </w:tc>
        <w:tc>
          <w:tcPr>
            <w:tcW w:type="dxa" w:w="3710"/>
            <w:vAlign w:val="center"/>
          </w:tcPr>
          <w:p>
            <w:pPr>
              <w:spacing w:after="0"/>
            </w:pPr>
            <w:r>
              <w:rPr>
                <w:rFonts w:ascii="Calibri" w:hAnsi="Calibri"/>
                <w:b w:val="0"/>
                <w:sz w:val="18"/>
              </w:rPr>
              <w:t>Guest-level claims use target-local evidence where available.</w:t>
            </w:r>
          </w:p>
        </w:tc>
      </w:tr>
      <w:tr>
        <w:tc>
          <w:tcPr>
            <w:tcW w:type="dxa" w:w="900"/>
            <w:vAlign w:val="center"/>
          </w:tcPr>
          <w:p>
            <w:pPr>
              <w:spacing w:after="0"/>
            </w:pPr>
            <w:r>
              <w:rPr>
                <w:rFonts w:ascii="Calibri" w:hAnsi="Calibri"/>
                <w:b w:val="0"/>
                <w:sz w:val="18"/>
              </w:rPr>
              <w:t>300</w:t>
            </w:r>
          </w:p>
        </w:tc>
        <w:tc>
          <w:tcPr>
            <w:tcW w:type="dxa" w:w="1600"/>
            <w:vAlign w:val="center"/>
          </w:tcPr>
          <w:p>
            <w:pPr>
              <w:spacing w:after="0"/>
            </w:pPr>
            <w:r>
              <w:rPr>
                <w:rFonts w:ascii="Calibri" w:hAnsi="Calibri"/>
                <w:b w:val="0"/>
                <w:sz w:val="18"/>
              </w:rPr>
              <w:t>WS01</w:t>
            </w:r>
          </w:p>
        </w:tc>
        <w:tc>
          <w:tcPr>
            <w:tcW w:type="dxa" w:w="3150"/>
            <w:vAlign w:val="center"/>
          </w:tcPr>
          <w:p>
            <w:pPr>
              <w:spacing w:after="0"/>
            </w:pPr>
            <w:r>
              <w:rPr>
                <w:rFonts w:ascii="Calibri" w:hAnsi="Calibri"/>
                <w:b w:val="0"/>
                <w:sz w:val="18"/>
              </w:rPr>
              <w:t>Windows domain workstation</w:t>
            </w:r>
          </w:p>
        </w:tc>
        <w:tc>
          <w:tcPr>
            <w:tcW w:type="dxa" w:w="3710"/>
            <w:vAlign w:val="center"/>
          </w:tcPr>
          <w:p>
            <w:pPr>
              <w:spacing w:after="0"/>
            </w:pPr>
            <w:r>
              <w:rPr>
                <w:rFonts w:ascii="Calibri" w:hAnsi="Calibri"/>
                <w:b w:val="0"/>
                <w:sz w:val="18"/>
              </w:rPr>
              <w:t>Guest-agent limitation remains visible.</w:t>
            </w:r>
          </w:p>
        </w:tc>
      </w:tr>
      <w:tr>
        <w:tc>
          <w:tcPr>
            <w:tcW w:type="dxa" w:w="900"/>
            <w:vAlign w:val="center"/>
          </w:tcPr>
          <w:p>
            <w:pPr>
              <w:spacing w:after="0"/>
            </w:pPr>
            <w:r>
              <w:rPr>
                <w:rFonts w:ascii="Calibri" w:hAnsi="Calibri"/>
                <w:b w:val="0"/>
                <w:sz w:val="18"/>
              </w:rPr>
              <w:t>400</w:t>
            </w:r>
          </w:p>
        </w:tc>
        <w:tc>
          <w:tcPr>
            <w:tcW w:type="dxa" w:w="1600"/>
            <w:vAlign w:val="center"/>
          </w:tcPr>
          <w:p>
            <w:pPr>
              <w:spacing w:after="0"/>
            </w:pPr>
            <w:r>
              <w:rPr>
                <w:rFonts w:ascii="Calibri" w:hAnsi="Calibri"/>
                <w:b w:val="0"/>
                <w:sz w:val="18"/>
              </w:rPr>
              <w:t>Linux01</w:t>
            </w:r>
          </w:p>
        </w:tc>
        <w:tc>
          <w:tcPr>
            <w:tcW w:type="dxa" w:w="3150"/>
            <w:vAlign w:val="center"/>
          </w:tcPr>
          <w:p>
            <w:pPr>
              <w:spacing w:after="0"/>
            </w:pPr>
            <w:r>
              <w:rPr>
                <w:rFonts w:ascii="Calibri" w:hAnsi="Calibri"/>
                <w:b w:val="0"/>
                <w:sz w:val="18"/>
              </w:rPr>
              <w:t>Ubuntu domain member on VLAN 30</w:t>
            </w:r>
          </w:p>
        </w:tc>
        <w:tc>
          <w:tcPr>
            <w:tcW w:type="dxa" w:w="3710"/>
            <w:vAlign w:val="center"/>
          </w:tcPr>
          <w:p>
            <w:pPr>
              <w:spacing w:after="0"/>
            </w:pPr>
            <w:r>
              <w:rPr>
                <w:rFonts w:ascii="Calibri" w:hAnsi="Calibri"/>
                <w:b w:val="0"/>
                <w:sz w:val="18"/>
              </w:rPr>
              <w:t>Guest agent and target-local evidence support stronger claims.</w:t>
            </w:r>
          </w:p>
        </w:tc>
      </w:tr>
    </w:tbl>
    <w:p/>
    <w:p>
      <w:bookmarkStart w:id="17" w:name="Storage_Architecture"/>
      <w:pPr>
        <w:pStyle w:val="Heading1"/>
      </w:pPr>
      <w:r>
        <w:t>Storage Architecture</w:t>
      </w:r>
      <w:bookmarkEnd w:id="17"/>
    </w:p>
    <w:p>
      <w:pPr>
        <w:spacing w:after="80"/>
      </w:pPr>
      <w:hyperlink w:anchor="TOC">
        <w:r>
          <w:rPr>
            <w:color w:val="0563C1"/>
            <w:u w:val="single"/>
          </w:rPr>
          <w:t>Back to Table of Contents</w:t>
        </w:r>
      </w:hyperlink>
    </w:p>
    <w:p>
      <w:r>
        <w:t>Current records identify backup storage named backup-hdd at /mnt/pve/backup-hdd. Older references to other backup storage labels are treated as stale or inconclusive unless later evidence proves a rename or replacement.</w:t>
      </w:r>
    </w:p>
    <w:p>
      <w:r>
        <w:t>Storage claims are limited to observed storage inventory, configured backup target use, and documented utilization or monitoring records. The evidence does not claim full storage redundancy or enterprise storage design.</w:t>
      </w:r>
    </w:p>
    <w:p>
      <w:bookmarkStart w:id="18" w:name="pfSense"/>
      <w:pPr>
        <w:pStyle w:val="Heading1"/>
      </w:pPr>
      <w:r>
        <w:t>pfSense</w:t>
      </w:r>
      <w:bookmarkEnd w:id="18"/>
    </w:p>
    <w:p>
      <w:pPr>
        <w:spacing w:after="80"/>
      </w:pPr>
      <w:hyperlink w:anchor="TOC">
        <w:r>
          <w:rPr>
            <w:color w:val="0563C1"/>
            <w:u w:val="single"/>
          </w:rPr>
          <w:t>Back to Table of Contents</w:t>
        </w:r>
      </w:hyperlink>
    </w:p>
    <w:p>
      <w:r>
        <w:t>pfSense is represented as VM 100 and provides routing and firewall context for the personal lab. Public documentation distinguishes pfSense configuration records from behavior that requires a separate current test.</w:t>
      </w:r>
    </w:p>
    <w:p>
      <w:r>
        <w:t>The supported design includes a LAN gateway, a Linux VLAN gateway, and an OpenVPN management path. Direct WAN-side management exposure is treated as historical where older records mention it; the current design emphasizes VPN-scoped administration.</w:t>
      </w:r>
    </w:p>
    <w:p>
      <w:bookmarkStart w:id="19" w:name="Network_Bridges"/>
      <w:pPr>
        <w:pStyle w:val="Heading1"/>
      </w:pPr>
      <w:r>
        <w:t>Network Bridges</w:t>
      </w:r>
      <w:bookmarkEnd w:id="19"/>
    </w:p>
    <w:p>
      <w:pPr>
        <w:spacing w:after="80"/>
      </w:pPr>
      <w:hyperlink w:anchor="TOC">
        <w:r>
          <w:rPr>
            <w:color w:val="0563C1"/>
            <w:u w:val="single"/>
          </w:rPr>
          <w:t>Back to Table of Contents</w:t>
        </w:r>
      </w:hyperlink>
    </w:p>
    <w:p>
      <w:r>
        <w:t>Proxmox bridge evidence identifies VM network attachment through vmbr interfaces. pfSense bridges between upstream and internal lab networks, while domain systems reside on the internal lab side.</w:t>
      </w:r>
    </w:p>
    <w:p>
      <w:r>
        <w:t>Bridge documentation is used to explain how systems relate to one another, not to imply that every firewall rule, NAT rule, or packet path was exhaustively tested from the public website environment.</w:t>
      </w:r>
    </w:p>
    <w:p>
      <w:bookmarkStart w:id="20" w:name="VLANs"/>
      <w:pPr>
        <w:pStyle w:val="Heading1"/>
      </w:pPr>
      <w:r>
        <w:t>VLANs</w:t>
      </w:r>
      <w:bookmarkEnd w:id="20"/>
    </w:p>
    <w:p>
      <w:pPr>
        <w:spacing w:after="80"/>
      </w:pPr>
      <w:hyperlink w:anchor="TOC">
        <w:r>
          <w:rPr>
            <w:color w:val="0563C1"/>
            <w:u w:val="single"/>
          </w:rPr>
          <w:t>Back to Table of Contents</w:t>
        </w:r>
      </w:hyperlink>
    </w:p>
    <w:p>
      <w:r>
        <w:t>Linux01 is currently treated as VLAN 30 on vmbr1 with the supported address 10.10.30.20/24. Older Linux01 10.10.20.x evidence is preserved as historical setup or pre-reconciliation context.</w:t>
      </w:r>
    </w:p>
    <w:p>
      <w:r>
        <w:t>VLAN claims are supported by current Proxmox metadata, DNS reconciliation, and target-local Linux inventory. The documentation avoids implying broad segmentation assurance beyond the cited evidence.</w:t>
      </w:r>
    </w:p>
    <w:p>
      <w:bookmarkStart w:id="21" w:name="VPN_and_Management_Routing"/>
      <w:pPr>
        <w:pStyle w:val="Heading1"/>
      </w:pPr>
      <w:r>
        <w:t>VPN and Management Routing</w:t>
      </w:r>
      <w:bookmarkEnd w:id="21"/>
    </w:p>
    <w:p>
      <w:pPr>
        <w:spacing w:after="80"/>
      </w:pPr>
      <w:hyperlink w:anchor="TOC">
        <w:r>
          <w:rPr>
            <w:color w:val="0563C1"/>
            <w:u w:val="single"/>
          </w:rPr>
          <w:t>Back to Table of Contents</w:t>
        </w:r>
      </w:hyperlink>
    </w:p>
    <w:p>
      <w:r>
        <w:t>The management path includes OpenVPN network context and route evidence. Current records support DNS and RDP reachability to DC01 through the management path, while SMB and other timeouts remain documented observations only.</w:t>
      </w:r>
    </w:p>
    <w:p>
      <w:r>
        <w:t>Management routing is described as a controlled access pattern for lab administration. It is not presented as a comprehensive remote-access security audit.</w:t>
      </w:r>
    </w:p>
    <w:p>
      <w:pPr>
        <w:pStyle w:val="Caption"/>
      </w:pPr>
      <w:r>
        <w:t>Table 3. Management-path evidence boundaries.</w:t>
      </w:r>
    </w:p>
    <w:tbl>
      <w:tblPr>
        <w:tblStyle w:val="TableGrid"/>
        <w:tblW w:type="dxa" w:w="9360"/>
        <w:jc w:val="center"/>
        <w:tblLook w:firstColumn="1" w:firstRow="1" w:lastColumn="0" w:lastRow="0" w:noHBand="0" w:noVBand="1" w:val="04A0"/>
        <w:tblInd w:type="dxa" w:w="120"/>
      </w:tblPr>
      <w:tblGrid>
        <w:gridCol w:w="2400"/>
        <w:gridCol w:w="3100"/>
        <w:gridCol w:w="3860"/>
      </w:tblGrid>
      <w:tr>
        <w:trPr>
          <w:tblHeader w:val="true"/>
        </w:trPr>
        <w:tc>
          <w:tcPr>
            <w:tcW w:type="dxa" w:w="2400"/>
            <w:tcMar>
              <w:top w:w="80" w:type="dxa"/>
              <w:bottom w:w="80" w:type="dxa"/>
              <w:start w:w="120" w:type="dxa"/>
              <w:end w:w="120" w:type="dxa"/>
            </w:tcMar>
            <w:vAlign w:val="center"/>
            <w:shd w:fill="E8EEF5"/>
          </w:tcPr>
          <w:p>
            <w:pPr>
              <w:spacing w:after="0"/>
            </w:pPr>
            <w:r>
              <w:rPr>
                <w:rFonts w:ascii="Calibri" w:hAnsi="Calibri"/>
                <w:b/>
                <w:sz w:val="18"/>
              </w:rPr>
              <w:t>Observation</w:t>
            </w:r>
          </w:p>
        </w:tc>
        <w:tc>
          <w:tcPr>
            <w:tcW w:type="dxa" w:w="3100"/>
            <w:tcMar>
              <w:top w:w="80" w:type="dxa"/>
              <w:bottom w:w="80" w:type="dxa"/>
              <w:start w:w="120" w:type="dxa"/>
              <w:end w:w="120" w:type="dxa"/>
            </w:tcMar>
            <w:vAlign w:val="center"/>
            <w:shd w:fill="E8EEF5"/>
          </w:tcPr>
          <w:p>
            <w:pPr>
              <w:spacing w:after="0"/>
            </w:pPr>
            <w:r>
              <w:rPr>
                <w:rFonts w:ascii="Calibri" w:hAnsi="Calibri"/>
                <w:b/>
                <w:sz w:val="18"/>
              </w:rPr>
              <w:t>Recorded result</w:t>
            </w:r>
          </w:p>
        </w:tc>
        <w:tc>
          <w:tcPr>
            <w:tcW w:type="dxa" w:w="3860"/>
            <w:tcMar>
              <w:top w:w="80" w:type="dxa"/>
              <w:bottom w:w="80" w:type="dxa"/>
              <w:start w:w="120" w:type="dxa"/>
              <w:end w:w="120" w:type="dxa"/>
            </w:tcMar>
            <w:vAlign w:val="center"/>
            <w:shd w:fill="E8EEF5"/>
          </w:tcPr>
          <w:p>
            <w:pPr>
              <w:spacing w:after="0"/>
            </w:pPr>
            <w:r>
              <w:rPr>
                <w:rFonts w:ascii="Calibri" w:hAnsi="Calibri"/>
                <w:b/>
                <w:sz w:val="18"/>
              </w:rPr>
              <w:t>Public claim</w:t>
            </w:r>
          </w:p>
        </w:tc>
      </w:tr>
      <w:tr>
        <w:tc>
          <w:tcPr>
            <w:tcW w:type="dxa" w:w="2400"/>
            <w:vAlign w:val="center"/>
          </w:tcPr>
          <w:p>
            <w:pPr>
              <w:spacing w:after="0"/>
            </w:pPr>
            <w:r>
              <w:rPr>
                <w:rFonts w:ascii="Calibri" w:hAnsi="Calibri"/>
                <w:b w:val="0"/>
                <w:sz w:val="18"/>
              </w:rPr>
              <w:t>DC01 DNS TCP 53</w:t>
            </w:r>
          </w:p>
        </w:tc>
        <w:tc>
          <w:tcPr>
            <w:tcW w:type="dxa" w:w="3100"/>
            <w:vAlign w:val="center"/>
          </w:tcPr>
          <w:p>
            <w:pPr>
              <w:spacing w:after="0"/>
            </w:pPr>
            <w:r>
              <w:rPr>
                <w:rFonts w:ascii="Calibri" w:hAnsi="Calibri"/>
                <w:b w:val="0"/>
                <w:sz w:val="18"/>
              </w:rPr>
              <w:t>Reachable through management path</w:t>
            </w:r>
          </w:p>
        </w:tc>
        <w:tc>
          <w:tcPr>
            <w:tcW w:type="dxa" w:w="3860"/>
            <w:vAlign w:val="center"/>
          </w:tcPr>
          <w:p>
            <w:pPr>
              <w:spacing w:after="0"/>
            </w:pPr>
            <w:r>
              <w:rPr>
                <w:rFonts w:ascii="Calibri" w:hAnsi="Calibri"/>
                <w:b w:val="0"/>
                <w:sz w:val="18"/>
              </w:rPr>
              <w:t>DNS reachability supported.</w:t>
            </w:r>
          </w:p>
        </w:tc>
      </w:tr>
      <w:tr>
        <w:tc>
          <w:tcPr>
            <w:tcW w:type="dxa" w:w="2400"/>
            <w:vAlign w:val="center"/>
          </w:tcPr>
          <w:p>
            <w:pPr>
              <w:spacing w:after="0"/>
            </w:pPr>
            <w:r>
              <w:rPr>
                <w:rFonts w:ascii="Calibri" w:hAnsi="Calibri"/>
                <w:b w:val="0"/>
                <w:sz w:val="18"/>
              </w:rPr>
              <w:t>DC01 RDP TCP 3389</w:t>
            </w:r>
          </w:p>
        </w:tc>
        <w:tc>
          <w:tcPr>
            <w:tcW w:type="dxa" w:w="3100"/>
            <w:vAlign w:val="center"/>
          </w:tcPr>
          <w:p>
            <w:pPr>
              <w:spacing w:after="0"/>
            </w:pPr>
            <w:r>
              <w:rPr>
                <w:rFonts w:ascii="Calibri" w:hAnsi="Calibri"/>
                <w:b w:val="0"/>
                <w:sz w:val="18"/>
              </w:rPr>
              <w:t>Reachable through management path</w:t>
            </w:r>
          </w:p>
        </w:tc>
        <w:tc>
          <w:tcPr>
            <w:tcW w:type="dxa" w:w="3860"/>
            <w:vAlign w:val="center"/>
          </w:tcPr>
          <w:p>
            <w:pPr>
              <w:spacing w:after="0"/>
            </w:pPr>
            <w:r>
              <w:rPr>
                <w:rFonts w:ascii="Calibri" w:hAnsi="Calibri"/>
                <w:b w:val="0"/>
                <w:sz w:val="18"/>
              </w:rPr>
              <w:t>Management RDP path supported.</w:t>
            </w:r>
          </w:p>
        </w:tc>
      </w:tr>
      <w:tr>
        <w:tc>
          <w:tcPr>
            <w:tcW w:type="dxa" w:w="2400"/>
            <w:vAlign w:val="center"/>
          </w:tcPr>
          <w:p>
            <w:pPr>
              <w:spacing w:after="0"/>
            </w:pPr>
            <w:r>
              <w:rPr>
                <w:rFonts w:ascii="Calibri" w:hAnsi="Calibri"/>
                <w:b w:val="0"/>
                <w:sz w:val="18"/>
              </w:rPr>
              <w:t>SMB or policy-dependent ports</w:t>
            </w:r>
          </w:p>
        </w:tc>
        <w:tc>
          <w:tcPr>
            <w:tcW w:type="dxa" w:w="3100"/>
            <w:vAlign w:val="center"/>
          </w:tcPr>
          <w:p>
            <w:pPr>
              <w:spacing w:after="0"/>
            </w:pPr>
            <w:r>
              <w:rPr>
                <w:rFonts w:ascii="Calibri" w:hAnsi="Calibri"/>
                <w:b w:val="0"/>
                <w:sz w:val="18"/>
              </w:rPr>
              <w:t>Timeouts recorded</w:t>
            </w:r>
          </w:p>
        </w:tc>
        <w:tc>
          <w:tcPr>
            <w:tcW w:type="dxa" w:w="3860"/>
            <w:vAlign w:val="center"/>
          </w:tcPr>
          <w:p>
            <w:pPr>
              <w:spacing w:after="0"/>
            </w:pPr>
            <w:r>
              <w:rPr>
                <w:rFonts w:ascii="Calibri" w:hAnsi="Calibri"/>
                <w:b w:val="0"/>
                <w:sz w:val="18"/>
              </w:rPr>
              <w:t>Timeout only; not outage proof.</w:t>
            </w:r>
          </w:p>
        </w:tc>
      </w:tr>
      <w:tr>
        <w:tc>
          <w:tcPr>
            <w:tcW w:type="dxa" w:w="2400"/>
            <w:vAlign w:val="center"/>
          </w:tcPr>
          <w:p>
            <w:pPr>
              <w:spacing w:after="0"/>
            </w:pPr>
            <w:r>
              <w:rPr>
                <w:rFonts w:ascii="Calibri" w:hAnsi="Calibri"/>
                <w:b w:val="0"/>
                <w:sz w:val="18"/>
              </w:rPr>
              <w:t>Direct WAN RDP</w:t>
            </w:r>
          </w:p>
        </w:tc>
        <w:tc>
          <w:tcPr>
            <w:tcW w:type="dxa" w:w="3100"/>
            <w:vAlign w:val="center"/>
          </w:tcPr>
          <w:p>
            <w:pPr>
              <w:spacing w:after="0"/>
            </w:pPr>
            <w:r>
              <w:rPr>
                <w:rFonts w:ascii="Calibri" w:hAnsi="Calibri"/>
                <w:b w:val="0"/>
                <w:sz w:val="18"/>
              </w:rPr>
              <w:t>Historical, not current public design</w:t>
            </w:r>
          </w:p>
        </w:tc>
        <w:tc>
          <w:tcPr>
            <w:tcW w:type="dxa" w:w="3860"/>
            <w:vAlign w:val="center"/>
          </w:tcPr>
          <w:p>
            <w:pPr>
              <w:spacing w:after="0"/>
            </w:pPr>
            <w:r>
              <w:rPr>
                <w:rFonts w:ascii="Calibri" w:hAnsi="Calibri"/>
                <w:b w:val="0"/>
                <w:sz w:val="18"/>
              </w:rPr>
              <w:t>Not promoted as current access model.</w:t>
            </w:r>
          </w:p>
        </w:tc>
      </w:tr>
    </w:tbl>
    <w:p/>
    <w:p>
      <w:bookmarkStart w:id="22" w:name="DC01"/>
      <w:pPr>
        <w:pStyle w:val="Heading1"/>
      </w:pPr>
      <w:r>
        <w:t>DC01</w:t>
      </w:r>
      <w:bookmarkEnd w:id="22"/>
    </w:p>
    <w:p>
      <w:pPr>
        <w:spacing w:after="80"/>
      </w:pPr>
      <w:hyperlink w:anchor="TOC">
        <w:r>
          <w:rPr>
            <w:color w:val="0563C1"/>
            <w:u w:val="single"/>
          </w:rPr>
          <w:t>Back to Table of Contents</w:t>
        </w:r>
      </w:hyperlink>
    </w:p>
    <w:p>
      <w:r>
        <w:t>DC01 is documented as VM 200, a Windows Server 2022 domain controller for ad.jeremyfontenot.online. Target-local inventory and retained screenshots support the Windows services that are described in this paper.</w:t>
      </w:r>
    </w:p>
    <w:p>
      <w:r>
        <w:t>DC01 evidence matters because it anchors the lab's identity, name resolution, address assignment, policy, and file-service practice areas.</w:t>
      </w:r>
    </w:p>
    <w:p>
      <w:bookmarkStart w:id="23" w:name="Active_Directory_Domain_Services"/>
      <w:pPr>
        <w:pStyle w:val="Heading1"/>
      </w:pPr>
      <w:r>
        <w:t>Active Directory Domain Services</w:t>
      </w:r>
      <w:bookmarkEnd w:id="23"/>
    </w:p>
    <w:p>
      <w:pPr>
        <w:spacing w:after="80"/>
      </w:pPr>
      <w:hyperlink w:anchor="TOC">
        <w:r>
          <w:rPr>
            <w:color w:val="0563C1"/>
            <w:u w:val="single"/>
          </w:rPr>
          <w:t>Back to Table of Contents</w:t>
        </w:r>
      </w:hyperlink>
    </w:p>
    <w:p>
      <w:r>
        <w:t>Active Directory Domain Services evidence supports a functioning personal lab domain with domain controller context, domain identity, and administrative validation records. Claims remain scoped to the personal lab.</w:t>
      </w:r>
    </w:p>
    <w:p>
      <w:r>
        <w:t>The AD DS section demonstrates directory-services concepts: domain controller role, workstation membership, Linux domain integration, DNS dependency, and policy-linked administration.</w:t>
      </w:r>
    </w:p>
    <w:p>
      <w:bookmarkStart w:id="24" w:name="FSMO_Roles"/>
      <w:pPr>
        <w:pStyle w:val="Heading1"/>
      </w:pPr>
      <w:r>
        <w:t>FSMO Roles</w:t>
      </w:r>
      <w:bookmarkEnd w:id="24"/>
    </w:p>
    <w:p>
      <w:pPr>
        <w:spacing w:after="80"/>
      </w:pPr>
      <w:hyperlink w:anchor="TOC">
        <w:r>
          <w:rPr>
            <w:color w:val="0563C1"/>
            <w:u w:val="single"/>
          </w:rPr>
          <w:t>Back to Table of Contents</w:t>
        </w:r>
      </w:hyperlink>
    </w:p>
    <w:p>
      <w:r>
        <w:t>Retained DC01 evidence supports FSMO role ownership review. FSMO role validation is useful because it shows the domain controller role is not merely a label but part of an inspected AD DS configuration.</w:t>
      </w:r>
    </w:p>
    <w:p>
      <w:r>
        <w:t>The evidence is not expanded into multi-domain or multi-domain-controller operational claims.</w:t>
      </w:r>
    </w:p>
    <w:p>
      <w:bookmarkStart w:id="25" w:name="DNS"/>
      <w:pPr>
        <w:pStyle w:val="Heading1"/>
      </w:pPr>
      <w:r>
        <w:t>DNS</w:t>
      </w:r>
      <w:bookmarkEnd w:id="25"/>
    </w:p>
    <w:p>
      <w:pPr>
        <w:spacing w:after="80"/>
      </w:pPr>
      <w:hyperlink w:anchor="TOC">
        <w:r>
          <w:rPr>
            <w:color w:val="0563C1"/>
            <w:u w:val="single"/>
          </w:rPr>
          <w:t>Back to Table of Contents</w:t>
        </w:r>
      </w:hyperlink>
    </w:p>
    <w:p>
      <w:r>
        <w:t>DNS evidence includes AD-integrated DNS context, forward lookup, reverse lookup, and current Linux01 name reconciliation. DNS is central to domain services, Linux integration, and management-path validation.</w:t>
      </w:r>
    </w:p>
    <w:p>
      <w:r>
        <w:t>Where DNS records are historical, the documentation labels them accordingly. Current Linux01 DNS resolves to 10.10.30.20.</w:t>
      </w:r>
    </w:p>
    <w:p>
      <w:bookmarkStart w:id="26" w:name="DHCP"/>
      <w:pPr>
        <w:pStyle w:val="Heading1"/>
      </w:pPr>
      <w:r>
        <w:t>DHCP</w:t>
      </w:r>
      <w:bookmarkEnd w:id="26"/>
    </w:p>
    <w:p>
      <w:pPr>
        <w:spacing w:after="80"/>
      </w:pPr>
      <w:hyperlink w:anchor="TOC">
        <w:r>
          <w:rPr>
            <w:color w:val="0563C1"/>
            <w:u w:val="single"/>
          </w:rPr>
          <w:t>Back to Table of Contents</w:t>
        </w:r>
      </w:hyperlink>
    </w:p>
    <w:p>
      <w:r>
        <w:t>DHCP evidence includes scope, option, statistics, and redacted lease review. DHCP claims are scoped to visible records and current summaries rather than broad address-management maturity.</w:t>
      </w:r>
    </w:p>
    <w:p>
      <w:r>
        <w:t>Redaction is intentional because DHCP lease records can expose host identifiers. Published descriptions preserve technical meaning without disclosing unnecessary details.</w:t>
      </w:r>
    </w:p>
    <w:p>
      <w:bookmarkStart w:id="27" w:name="Group_Policy"/>
      <w:pPr>
        <w:pStyle w:val="Heading1"/>
      </w:pPr>
      <w:r>
        <w:t>Group Policy</w:t>
      </w:r>
      <w:bookmarkEnd w:id="27"/>
    </w:p>
    <w:p>
      <w:pPr>
        <w:spacing w:after="80"/>
      </w:pPr>
      <w:hyperlink w:anchor="TOC">
        <w:r>
          <w:rPr>
            <w:color w:val="0563C1"/>
            <w:u w:val="single"/>
          </w:rPr>
          <w:t>Back to Table of Contents</w:t>
        </w:r>
      </w:hyperlink>
    </w:p>
    <w:p>
      <w:r>
        <w:t>Group Policy evidence supports GPO inventory and link review. Group Policy appears in the workstation, file-service, and permissions evidence where applied policy affects access or configuration.</w:t>
      </w:r>
    </w:p>
    <w:p>
      <w:r>
        <w:t>The documentation distinguishes inventory from processing proof. A listed GPO is not treated as applied to a user or machine unless a relevant validation record supports it.</w:t>
      </w:r>
    </w:p>
    <w:p>
      <w:bookmarkStart w:id="28" w:name="File_Services"/>
      <w:pPr>
        <w:pStyle w:val="Heading1"/>
      </w:pPr>
      <w:r>
        <w:t>File Services</w:t>
      </w:r>
      <w:bookmarkEnd w:id="28"/>
    </w:p>
    <w:p>
      <w:pPr>
        <w:spacing w:after="80"/>
      </w:pPr>
      <w:hyperlink w:anchor="TOC">
        <w:r>
          <w:rPr>
            <w:color w:val="0563C1"/>
            <w:u w:val="single"/>
          </w:rPr>
          <w:t>Back to Table of Contents</w:t>
        </w:r>
      </w:hyperlink>
    </w:p>
    <w:p>
      <w:r>
        <w:t>File-service evidence is primarily represented through DC01 and WS01 validation records, including mapped drive and share-access testing. The lab demonstrates permission modeling and user access validation.</w:t>
      </w:r>
    </w:p>
    <w:p>
      <w:r>
        <w:t>No broad enterprise file-service assurance, data classification program, or production data management claim is made.</w:t>
      </w:r>
    </w:p>
    <w:p>
      <w:bookmarkStart w:id="29" w:name="Security_Groups_and_Permissions"/>
      <w:pPr>
        <w:pStyle w:val="Heading1"/>
      </w:pPr>
      <w:r>
        <w:t>Security Groups and Permissions</w:t>
      </w:r>
      <w:bookmarkEnd w:id="29"/>
    </w:p>
    <w:p>
      <w:pPr>
        <w:spacing w:after="80"/>
      </w:pPr>
      <w:hyperlink w:anchor="TOC">
        <w:r>
          <w:rPr>
            <w:color w:val="0563C1"/>
            <w:u w:val="single"/>
          </w:rPr>
          <w:t>Back to Table of Contents</w:t>
        </w:r>
      </w:hyperlink>
    </w:p>
    <w:p>
      <w:r>
        <w:t>Security group and permission evidence includes different access outcomes for different user contexts, including read/write and write-denial validation. This demonstrates practical access-control testing.</w:t>
      </w:r>
    </w:p>
    <w:p>
      <w:r>
        <w:t>The evidence is valuable because it shows both positive and negative validation: successful access for an authorized context and denied write access where appropriate.</w:t>
      </w:r>
    </w:p>
    <w:p>
      <w:bookmarkStart w:id="30" w:name="WS01"/>
      <w:pPr>
        <w:pStyle w:val="Heading1"/>
      </w:pPr>
      <w:r>
        <w:t>WS01</w:t>
      </w:r>
      <w:bookmarkEnd w:id="30"/>
    </w:p>
    <w:p>
      <w:pPr>
        <w:spacing w:after="80"/>
      </w:pPr>
      <w:hyperlink w:anchor="TOC">
        <w:r>
          <w:rPr>
            <w:color w:val="0563C1"/>
            <w:u w:val="single"/>
          </w:rPr>
          <w:t>Back to Table of Contents</w:t>
        </w:r>
      </w:hyperlink>
    </w:p>
    <w:p>
      <w:r>
        <w:t>WS01 is documented as VM 300, a Windows domain workstation. Current source records include authenticated inventory evidence and historical workstation screenshots. Proxmox guest-agent limitations for WS01 remain visible where applicable.</w:t>
      </w:r>
    </w:p>
    <w:p>
      <w:r>
        <w:t>WS01 demonstrates endpoint administration concepts: domain join, DNS/DHCP context, RDP troubleshooting, firewall state, mapped drives, and file-share permissions.</w:t>
      </w:r>
    </w:p>
    <w:p>
      <w:bookmarkStart w:id="31" w:name="Linux01"/>
      <w:pPr>
        <w:pStyle w:val="Heading1"/>
      </w:pPr>
      <w:r>
        <w:t>Linux01</w:t>
      </w:r>
      <w:bookmarkEnd w:id="31"/>
    </w:p>
    <w:p>
      <w:pPr>
        <w:spacing w:after="80"/>
      </w:pPr>
      <w:hyperlink w:anchor="TOC">
        <w:r>
          <w:rPr>
            <w:color w:val="0563C1"/>
            <w:u w:val="single"/>
          </w:rPr>
          <w:t>Back to Table of Contents</w:t>
        </w:r>
      </w:hyperlink>
    </w:p>
    <w:p>
      <w:r>
        <w:t>Linux01 is documented as VM 400, Ubuntu Server 26.04 LTS, a domain member on VLAN 30 at 10.10.30.20/24. Current Proxmox metadata and target-local inventory strengthen this state.</w:t>
      </w:r>
    </w:p>
    <w:p>
      <w:r>
        <w:t>Linux01 provides the lab's strongest cross-platform evidence: Linux identity integration, SSSD remediation, Kerberos, SSH, UFW, sudo controls, QEMU guest agent response, and rsyslog receiver state.</w:t>
      </w:r>
    </w:p>
    <w:p>
      <w:bookmarkStart w:id="32" w:name="Linux_VLAN_Placement"/>
      <w:pPr>
        <w:pStyle w:val="Heading1"/>
      </w:pPr>
      <w:r>
        <w:t>Linux VLAN Placement</w:t>
      </w:r>
      <w:bookmarkEnd w:id="32"/>
    </w:p>
    <w:p>
      <w:pPr>
        <w:spacing w:after="80"/>
      </w:pPr>
      <w:hyperlink w:anchor="TOC">
        <w:r>
          <w:rPr>
            <w:color w:val="0563C1"/>
            <w:u w:val="single"/>
          </w:rPr>
          <w:t>Back to Table of Contents</w:t>
        </w:r>
      </w:hyperlink>
    </w:p>
    <w:p>
      <w:r>
        <w:t>Linux01 VLAN placement is supported by Proxmox VM metadata showing tag 30 and by current DNS reconciliation to 10.10.30.20. Historical 10.10.20.x references remain historical.</w:t>
      </w:r>
    </w:p>
    <w:p>
      <w:r>
        <w:t>This section matters because correcting Linux01 placement prevents outdated network statements from leaking into public proof labels.</w:t>
      </w:r>
    </w:p>
    <w:p>
      <w:bookmarkStart w:id="33" w:name="Active_Directory_Integration"/>
      <w:pPr>
        <w:pStyle w:val="Heading1"/>
      </w:pPr>
      <w:r>
        <w:t>Active Directory Integration</w:t>
      </w:r>
      <w:bookmarkEnd w:id="33"/>
    </w:p>
    <w:p>
      <w:pPr>
        <w:spacing w:after="80"/>
      </w:pPr>
      <w:hyperlink w:anchor="TOC">
        <w:r>
          <w:rPr>
            <w:color w:val="0563C1"/>
            <w:u w:val="single"/>
          </w:rPr>
          <w:t>Back to Table of Contents</w:t>
        </w:r>
      </w:hyperlink>
    </w:p>
    <w:p>
      <w:r>
        <w:t>Linux Active Directory integration is documented through realm membership, identity lookup, and related validation artifacts. The public claim is that integration is configured and validated where the target-local records support it.</w:t>
      </w:r>
    </w:p>
    <w:p>
      <w:r>
        <w:t>The integration demonstrates cross-platform administration, DNS dependency awareness, identity troubleshooting, and careful validation of authentication behavior.</w:t>
      </w:r>
    </w:p>
    <w:p>
      <w:bookmarkStart w:id="34" w:name="SSSD"/>
      <w:pPr>
        <w:pStyle w:val="Heading1"/>
      </w:pPr>
      <w:r>
        <w:t>SSSD</w:t>
      </w:r>
      <w:bookmarkEnd w:id="34"/>
    </w:p>
    <w:p>
      <w:pPr>
        <w:spacing w:after="80"/>
      </w:pPr>
      <w:hyperlink w:anchor="TOC">
        <w:r>
          <w:rPr>
            <w:color w:val="0563C1"/>
            <w:u w:val="single"/>
          </w:rPr>
          <w:t>Back to Table of Contents</w:t>
        </w:r>
      </w:hyperlink>
    </w:p>
    <w:p>
      <w:r>
        <w:t>The Linux01 SSSD remediation record documents a responder activation conflict, configuration correction, service restart, failed-unit cleanup, identity lookup, and a new AD-authenticated SSH session.</w:t>
      </w:r>
    </w:p>
    <w:p>
      <w:r>
        <w:t>The important operational pattern is rollback-first remediation: preserve a backup, validate configuration, change only the conflicting state, restart the service, then validate identity and access.</w:t>
      </w:r>
    </w:p>
    <w:p>
      <w:bookmarkStart w:id="35" w:name="Kerberos"/>
      <w:pPr>
        <w:pStyle w:val="Heading1"/>
      </w:pPr>
      <w:r>
        <w:t>Kerberos</w:t>
      </w:r>
      <w:bookmarkEnd w:id="35"/>
    </w:p>
    <w:p>
      <w:pPr>
        <w:spacing w:after="80"/>
      </w:pPr>
      <w:hyperlink w:anchor="TOC">
        <w:r>
          <w:rPr>
            <w:color w:val="0563C1"/>
            <w:u w:val="single"/>
          </w:rPr>
          <w:t>Back to Table of Contents</w:t>
        </w:r>
      </w:hyperlink>
    </w:p>
    <w:p>
      <w:r>
        <w:t>Kerberos is part of the Linux domain-integration story. The document treats Kerberos claims as supported where realm, identity, and authentication evidence connect to the Linux01 validation workflow.</w:t>
      </w:r>
    </w:p>
    <w:p>
      <w:r>
        <w:t>Timeouts from the current management workstation to Kerberos ports are not interpreted as Kerberos service failure because the evidence path and firewall policy boundaries matter.</w:t>
      </w:r>
    </w:p>
    <w:p>
      <w:bookmarkStart w:id="36" w:name="SSH"/>
      <w:pPr>
        <w:pStyle w:val="Heading1"/>
      </w:pPr>
      <w:r>
        <w:t>SSH</w:t>
      </w:r>
      <w:bookmarkEnd w:id="36"/>
    </w:p>
    <w:p>
      <w:pPr>
        <w:spacing w:after="80"/>
      </w:pPr>
      <w:hyperlink w:anchor="TOC">
        <w:r>
          <w:rPr>
            <w:color w:val="0563C1"/>
            <w:u w:val="single"/>
          </w:rPr>
          <w:t>Back to Table of Contents</w:t>
        </w:r>
      </w:hyperlink>
    </w:p>
    <w:p>
      <w:r>
        <w:t>SSH evidence includes post-remediation AD-authenticated access to Linux01. That result supports a meaningful operational claim: identity integration was not merely configured; it was validated with a new login path.</w:t>
      </w:r>
    </w:p>
    <w:p>
      <w:r>
        <w:t>The documentation does not publish credentials, keys, or raw sensitive session data.</w:t>
      </w:r>
    </w:p>
    <w:p>
      <w:bookmarkStart w:id="37" w:name="UFW"/>
      <w:pPr>
        <w:pStyle w:val="Heading1"/>
      </w:pPr>
      <w:r>
        <w:t>UFW</w:t>
      </w:r>
      <w:bookmarkEnd w:id="37"/>
    </w:p>
    <w:p>
      <w:pPr>
        <w:spacing w:after="80"/>
      </w:pPr>
      <w:hyperlink w:anchor="TOC">
        <w:r>
          <w:rPr>
            <w:color w:val="0563C1"/>
            <w:u w:val="single"/>
          </w:rPr>
          <w:t>Back to Table of Contents</w:t>
        </w:r>
      </w:hyperlink>
    </w:p>
    <w:p>
      <w:r>
        <w:t>UFW appears in Linux01 records as part of the security-control boundary. The documentation reports UFW state only to the level supported by target-local inventory and sanitized summaries.</w:t>
      </w:r>
    </w:p>
    <w:p>
      <w:r>
        <w:t>Firewall claims are scoped narrowly because a firewall state listing is not equivalent to a comprehensive security test.</w:t>
      </w:r>
    </w:p>
    <w:p>
      <w:bookmarkStart w:id="38" w:name="sudo_Controls"/>
      <w:pPr>
        <w:pStyle w:val="Heading1"/>
      </w:pPr>
      <w:r>
        <w:t>sudo Controls</w:t>
      </w:r>
      <w:bookmarkEnd w:id="38"/>
    </w:p>
    <w:p>
      <w:pPr>
        <w:spacing w:after="80"/>
      </w:pPr>
      <w:hyperlink w:anchor="TOC">
        <w:r>
          <w:rPr>
            <w:color w:val="0563C1"/>
            <w:u w:val="single"/>
          </w:rPr>
          <w:t>Back to Table of Contents</w:t>
        </w:r>
      </w:hyperlink>
    </w:p>
    <w:p>
      <w:r>
        <w:t>sudo controls are included as Linux administrative access evidence. The lab documentation treats sudo configuration as a privileged-access control that should be described without exposing sensitive policy internals.</w:t>
      </w:r>
    </w:p>
    <w:p>
      <w:r>
        <w:t>The public artifact emphasizes that delegated administrative control exists where supported, but it does not publish secrets or overstate least-privilege maturity.</w:t>
      </w:r>
    </w:p>
    <w:p>
      <w:bookmarkStart w:id="39" w:name="QEMU_Guest_Agent"/>
      <w:pPr>
        <w:pStyle w:val="Heading1"/>
      </w:pPr>
      <w:r>
        <w:t>QEMU Guest Agent</w:t>
      </w:r>
      <w:bookmarkEnd w:id="39"/>
    </w:p>
    <w:p>
      <w:pPr>
        <w:spacing w:after="80"/>
      </w:pPr>
      <w:hyperlink w:anchor="TOC">
        <w:r>
          <w:rPr>
            <w:color w:val="0563C1"/>
            <w:u w:val="single"/>
          </w:rPr>
          <w:t>Back to Table of Contents</w:t>
        </w:r>
      </w:hyperlink>
    </w:p>
    <w:p>
      <w:r>
        <w:t>Current Proxmox records show Linux01 QEMU guest agent responding. Other primary VMs are not promoted to guest-agent-validated state unless the relevant current evidence supports it.</w:t>
      </w:r>
    </w:p>
    <w:p>
      <w:r>
        <w:t>This distinction prevents hypervisor metadata from being mistaken for guest-level validation across every VM.</w:t>
      </w:r>
    </w:p>
    <w:p>
      <w:bookmarkStart w:id="40" w:name="Centralized_Logging"/>
      <w:pPr>
        <w:pStyle w:val="Heading1"/>
      </w:pPr>
      <w:r>
        <w:t>Centralized Logging</w:t>
      </w:r>
      <w:bookmarkEnd w:id="40"/>
    </w:p>
    <w:p>
      <w:pPr>
        <w:spacing w:after="80"/>
      </w:pPr>
      <w:hyperlink w:anchor="TOC">
        <w:r>
          <w:rPr>
            <w:color w:val="0563C1"/>
            <w:u w:val="single"/>
          </w:rPr>
          <w:t>Back to Table of Contents</w:t>
        </w:r>
      </w:hyperlink>
    </w:p>
    <w:p>
      <w:r>
        <w:t>Centralized logging evidence includes Linux01 rsyslog receiver state from authenticated target-local inventory and planning records for further expansion. pfSense forwarding is documented in retained records.</w:t>
      </w:r>
    </w:p>
    <w:p>
      <w:r>
        <w:t>Additional Windows Event Forwarding, Proxmox logging, alerting, and firewall changes remain planned until explicitly approved and validated.</w:t>
      </w:r>
    </w:p>
    <w:p>
      <w:bookmarkStart w:id="41" w:name="Backup_Architecture"/>
      <w:pPr>
        <w:pStyle w:val="Heading1"/>
      </w:pPr>
      <w:r>
        <w:t>Backup Architecture</w:t>
      </w:r>
      <w:bookmarkEnd w:id="41"/>
    </w:p>
    <w:p>
      <w:pPr>
        <w:spacing w:after="80"/>
      </w:pPr>
      <w:hyperlink w:anchor="TOC">
        <w:r>
          <w:rPr>
            <w:color w:val="0563C1"/>
            <w:u w:val="single"/>
          </w:rPr>
          <w:t>Back to Table of Contents</w:t>
        </w:r>
      </w:hyperlink>
    </w:p>
    <w:p>
      <w:r>
        <w:t>Backup architecture evidence supports an enabled scheduled backup job named backup-critical-lab-vms for VMs 100, 200, 300, and 400 using snapshot mode, zstd compression, and backup-hdd storage.</w:t>
      </w:r>
    </w:p>
    <w:p>
      <w:r>
        <w:t>This evidence supports backup configuration visibility. It does not prove current archive integrity or recurring recovery success by itself.</w:t>
      </w:r>
    </w:p>
    <w:p>
      <w:pPr>
        <w:jc w:val="center"/>
      </w:pPr>
      <w:r>
        <w:drawing>
          <wp:inline xmlns:a="http://schemas.openxmlformats.org/drawingml/2006/main" xmlns:pic="http://schemas.openxmlformats.org/drawingml/2006/picture">
            <wp:extent cx="5577840" cy="2649474"/>
            <wp:docPr id="3" name="Picture 3" title="Figure 3" descr="Backup boundary diagram showing backup job evidence, snapshot mode, compression, isolated restore documentation, and no recurring DR claim."/>
            <wp:cNvGraphicFramePr>
              <a:graphicFrameLocks noChangeAspect="1"/>
            </wp:cNvGraphicFramePr>
            <a:graphic>
              <a:graphicData uri="http://schemas.openxmlformats.org/drawingml/2006/picture">
                <pic:pic>
                  <pic:nvPicPr>
                    <pic:cNvPr id="0" name="backup-boundary.png"/>
                    <pic:cNvPicPr/>
                  </pic:nvPicPr>
                  <pic:blipFill>
                    <a:blip r:embed="rId12"/>
                    <a:stretch>
                      <a:fillRect/>
                    </a:stretch>
                  </pic:blipFill>
                  <pic:spPr>
                    <a:xfrm>
                      <a:off x="0" y="0"/>
                      <a:ext cx="5577840" cy="2649474"/>
                    </a:xfrm>
                    <a:prstGeom prst="rect"/>
                  </pic:spPr>
                </pic:pic>
              </a:graphicData>
            </a:graphic>
          </wp:inline>
        </w:drawing>
      </w:r>
    </w:p>
    <w:p>
      <w:pPr>
        <w:pStyle w:val="Caption"/>
      </w:pPr>
      <w:r>
        <w:t>Figure 3. Backup architecture and restore-claim boundary.</w:t>
      </w:r>
    </w:p>
    <w:p>
      <w:pPr>
        <w:pStyle w:val="Caption"/>
      </w:pPr>
      <w:r>
        <w:t>Table 4. Backup architecture evidence.</w:t>
      </w:r>
    </w:p>
    <w:tbl>
      <w:tblPr>
        <w:tblStyle w:val="TableGrid"/>
        <w:tblW w:type="dxa" w:w="9360"/>
        <w:jc w:val="center"/>
        <w:tblLook w:firstColumn="1" w:firstRow="1" w:lastColumn="0" w:lastRow="0" w:noHBand="0" w:noVBand="1" w:val="04A0"/>
        <w:tblInd w:type="dxa" w:w="120"/>
      </w:tblPr>
      <w:tblGrid>
        <w:gridCol w:w="2200"/>
        <w:gridCol w:w="3300"/>
        <w:gridCol w:w="3860"/>
      </w:tblGrid>
      <w:tr>
        <w:trPr>
          <w:tblHeader w:val="true"/>
        </w:trPr>
        <w:tc>
          <w:tcPr>
            <w:tcW w:type="dxa" w:w="2200"/>
            <w:tcMar>
              <w:top w:w="80" w:type="dxa"/>
              <w:bottom w:w="80" w:type="dxa"/>
              <w:start w:w="120" w:type="dxa"/>
              <w:end w:w="120" w:type="dxa"/>
            </w:tcMar>
            <w:vAlign w:val="center"/>
            <w:shd w:fill="E8EEF5"/>
          </w:tcPr>
          <w:p>
            <w:pPr>
              <w:spacing w:after="0"/>
            </w:pPr>
            <w:r>
              <w:rPr>
                <w:rFonts w:ascii="Calibri" w:hAnsi="Calibri"/>
                <w:b/>
                <w:sz w:val="18"/>
              </w:rPr>
              <w:t>Item</w:t>
            </w:r>
          </w:p>
        </w:tc>
        <w:tc>
          <w:tcPr>
            <w:tcW w:type="dxa" w:w="3300"/>
            <w:tcMar>
              <w:top w:w="80" w:type="dxa"/>
              <w:bottom w:w="80" w:type="dxa"/>
              <w:start w:w="120" w:type="dxa"/>
              <w:end w:w="120" w:type="dxa"/>
            </w:tcMar>
            <w:vAlign w:val="center"/>
            <w:shd w:fill="E8EEF5"/>
          </w:tcPr>
          <w:p>
            <w:pPr>
              <w:spacing w:after="0"/>
            </w:pPr>
            <w:r>
              <w:rPr>
                <w:rFonts w:ascii="Calibri" w:hAnsi="Calibri"/>
                <w:b/>
                <w:sz w:val="18"/>
              </w:rPr>
              <w:t>Supported value</w:t>
            </w:r>
          </w:p>
        </w:tc>
        <w:tc>
          <w:tcPr>
            <w:tcW w:type="dxa" w:w="3860"/>
            <w:tcMar>
              <w:top w:w="80" w:type="dxa"/>
              <w:bottom w:w="80" w:type="dxa"/>
              <w:start w:w="120" w:type="dxa"/>
              <w:end w:w="120" w:type="dxa"/>
            </w:tcMar>
            <w:vAlign w:val="center"/>
            <w:shd w:fill="E8EEF5"/>
          </w:tcPr>
          <w:p>
            <w:pPr>
              <w:spacing w:after="0"/>
            </w:pPr>
            <w:r>
              <w:rPr>
                <w:rFonts w:ascii="Calibri" w:hAnsi="Calibri"/>
                <w:b/>
                <w:sz w:val="18"/>
              </w:rPr>
              <w:t>Boundary</w:t>
            </w:r>
          </w:p>
        </w:tc>
      </w:tr>
      <w:tr>
        <w:tc>
          <w:tcPr>
            <w:tcW w:type="dxa" w:w="2200"/>
            <w:vAlign w:val="center"/>
          </w:tcPr>
          <w:p>
            <w:pPr>
              <w:spacing w:after="0"/>
            </w:pPr>
            <w:r>
              <w:rPr>
                <w:rFonts w:ascii="Calibri" w:hAnsi="Calibri"/>
                <w:b w:val="0"/>
                <w:sz w:val="18"/>
              </w:rPr>
              <w:t>Backup job</w:t>
            </w:r>
          </w:p>
        </w:tc>
        <w:tc>
          <w:tcPr>
            <w:tcW w:type="dxa" w:w="3300"/>
            <w:vAlign w:val="center"/>
          </w:tcPr>
          <w:p>
            <w:pPr>
              <w:spacing w:after="0"/>
            </w:pPr>
            <w:r>
              <w:rPr>
                <w:rFonts w:ascii="Calibri" w:hAnsi="Calibri"/>
                <w:b w:val="0"/>
                <w:sz w:val="18"/>
              </w:rPr>
              <w:t>backup-critical-lab-vms</w:t>
            </w:r>
          </w:p>
        </w:tc>
        <w:tc>
          <w:tcPr>
            <w:tcW w:type="dxa" w:w="3860"/>
            <w:vAlign w:val="center"/>
          </w:tcPr>
          <w:p>
            <w:pPr>
              <w:spacing w:after="0"/>
            </w:pPr>
            <w:r>
              <w:rPr>
                <w:rFonts w:ascii="Calibri" w:hAnsi="Calibri"/>
                <w:b w:val="0"/>
                <w:sz w:val="18"/>
              </w:rPr>
              <w:t>Configured and visible.</w:t>
            </w:r>
          </w:p>
        </w:tc>
      </w:tr>
      <w:tr>
        <w:tc>
          <w:tcPr>
            <w:tcW w:type="dxa" w:w="2200"/>
            <w:vAlign w:val="center"/>
          </w:tcPr>
          <w:p>
            <w:pPr>
              <w:spacing w:after="0"/>
            </w:pPr>
            <w:r>
              <w:rPr>
                <w:rFonts w:ascii="Calibri" w:hAnsi="Calibri"/>
                <w:b w:val="0"/>
                <w:sz w:val="18"/>
              </w:rPr>
              <w:t>VM coverage</w:t>
            </w:r>
          </w:p>
        </w:tc>
        <w:tc>
          <w:tcPr>
            <w:tcW w:type="dxa" w:w="3300"/>
            <w:vAlign w:val="center"/>
          </w:tcPr>
          <w:p>
            <w:pPr>
              <w:spacing w:after="0"/>
            </w:pPr>
            <w:r>
              <w:rPr>
                <w:rFonts w:ascii="Calibri" w:hAnsi="Calibri"/>
                <w:b w:val="0"/>
                <w:sz w:val="18"/>
              </w:rPr>
              <w:t>100, 200, 300, 400</w:t>
            </w:r>
          </w:p>
        </w:tc>
        <w:tc>
          <w:tcPr>
            <w:tcW w:type="dxa" w:w="3860"/>
            <w:vAlign w:val="center"/>
          </w:tcPr>
          <w:p>
            <w:pPr>
              <w:spacing w:after="0"/>
            </w:pPr>
            <w:r>
              <w:rPr>
                <w:rFonts w:ascii="Calibri" w:hAnsi="Calibri"/>
                <w:b w:val="0"/>
                <w:sz w:val="18"/>
              </w:rPr>
              <w:t>Does not prove restore success.</w:t>
            </w:r>
          </w:p>
        </w:tc>
      </w:tr>
      <w:tr>
        <w:tc>
          <w:tcPr>
            <w:tcW w:type="dxa" w:w="2200"/>
            <w:vAlign w:val="center"/>
          </w:tcPr>
          <w:p>
            <w:pPr>
              <w:spacing w:after="0"/>
            </w:pPr>
            <w:r>
              <w:rPr>
                <w:rFonts w:ascii="Calibri" w:hAnsi="Calibri"/>
                <w:b w:val="0"/>
                <w:sz w:val="18"/>
              </w:rPr>
              <w:t>Mode</w:t>
            </w:r>
          </w:p>
        </w:tc>
        <w:tc>
          <w:tcPr>
            <w:tcW w:type="dxa" w:w="3300"/>
            <w:vAlign w:val="center"/>
          </w:tcPr>
          <w:p>
            <w:pPr>
              <w:spacing w:after="0"/>
            </w:pPr>
            <w:r>
              <w:rPr>
                <w:rFonts w:ascii="Calibri" w:hAnsi="Calibri"/>
                <w:b w:val="0"/>
                <w:sz w:val="18"/>
              </w:rPr>
              <w:t>snapshot</w:t>
            </w:r>
          </w:p>
        </w:tc>
        <w:tc>
          <w:tcPr>
            <w:tcW w:type="dxa" w:w="3860"/>
            <w:vAlign w:val="center"/>
          </w:tcPr>
          <w:p>
            <w:pPr>
              <w:spacing w:after="0"/>
            </w:pPr>
            <w:r>
              <w:rPr>
                <w:rFonts w:ascii="Calibri" w:hAnsi="Calibri"/>
                <w:b w:val="0"/>
                <w:sz w:val="18"/>
              </w:rPr>
              <w:t>Configuration evidence only.</w:t>
            </w:r>
          </w:p>
        </w:tc>
      </w:tr>
      <w:tr>
        <w:tc>
          <w:tcPr>
            <w:tcW w:type="dxa" w:w="2200"/>
            <w:vAlign w:val="center"/>
          </w:tcPr>
          <w:p>
            <w:pPr>
              <w:spacing w:after="0"/>
            </w:pPr>
            <w:r>
              <w:rPr>
                <w:rFonts w:ascii="Calibri" w:hAnsi="Calibri"/>
                <w:b w:val="0"/>
                <w:sz w:val="18"/>
              </w:rPr>
              <w:t>Compression</w:t>
            </w:r>
          </w:p>
        </w:tc>
        <w:tc>
          <w:tcPr>
            <w:tcW w:type="dxa" w:w="3300"/>
            <w:vAlign w:val="center"/>
          </w:tcPr>
          <w:p>
            <w:pPr>
              <w:spacing w:after="0"/>
            </w:pPr>
            <w:r>
              <w:rPr>
                <w:rFonts w:ascii="Calibri" w:hAnsi="Calibri"/>
                <w:b w:val="0"/>
                <w:sz w:val="18"/>
              </w:rPr>
              <w:t>zstd</w:t>
            </w:r>
          </w:p>
        </w:tc>
        <w:tc>
          <w:tcPr>
            <w:tcW w:type="dxa" w:w="3860"/>
            <w:vAlign w:val="center"/>
          </w:tcPr>
          <w:p>
            <w:pPr>
              <w:spacing w:after="0"/>
            </w:pPr>
            <w:r>
              <w:rPr>
                <w:rFonts w:ascii="Calibri" w:hAnsi="Calibri"/>
                <w:b w:val="0"/>
                <w:sz w:val="18"/>
              </w:rPr>
              <w:t>Configuration evidence only.</w:t>
            </w:r>
          </w:p>
        </w:tc>
      </w:tr>
      <w:tr>
        <w:tc>
          <w:tcPr>
            <w:tcW w:type="dxa" w:w="2200"/>
            <w:vAlign w:val="center"/>
          </w:tcPr>
          <w:p>
            <w:pPr>
              <w:spacing w:after="0"/>
            </w:pPr>
            <w:r>
              <w:rPr>
                <w:rFonts w:ascii="Calibri" w:hAnsi="Calibri"/>
                <w:b w:val="0"/>
                <w:sz w:val="18"/>
              </w:rPr>
              <w:t>Storage</w:t>
            </w:r>
          </w:p>
        </w:tc>
        <w:tc>
          <w:tcPr>
            <w:tcW w:type="dxa" w:w="3300"/>
            <w:vAlign w:val="center"/>
          </w:tcPr>
          <w:p>
            <w:pPr>
              <w:spacing w:after="0"/>
            </w:pPr>
            <w:r>
              <w:rPr>
                <w:rFonts w:ascii="Calibri" w:hAnsi="Calibri"/>
                <w:b w:val="0"/>
                <w:sz w:val="18"/>
              </w:rPr>
              <w:t>backup-hdd</w:t>
            </w:r>
          </w:p>
        </w:tc>
        <w:tc>
          <w:tcPr>
            <w:tcW w:type="dxa" w:w="3860"/>
            <w:vAlign w:val="center"/>
          </w:tcPr>
          <w:p>
            <w:pPr>
              <w:spacing w:after="0"/>
            </w:pPr>
            <w:r>
              <w:rPr>
                <w:rFonts w:ascii="Calibri" w:hAnsi="Calibri"/>
                <w:b w:val="0"/>
                <w:sz w:val="18"/>
              </w:rPr>
              <w:t>Current observed storage target.</w:t>
            </w:r>
          </w:p>
        </w:tc>
      </w:tr>
    </w:tbl>
    <w:p/>
    <w:p>
      <w:bookmarkStart w:id="42" w:name="Snapshots"/>
      <w:pPr>
        <w:pStyle w:val="Heading1"/>
      </w:pPr>
      <w:r>
        <w:t>Snapshots</w:t>
      </w:r>
      <w:bookmarkEnd w:id="42"/>
    </w:p>
    <w:p>
      <w:pPr>
        <w:spacing w:after="80"/>
      </w:pPr>
      <w:hyperlink w:anchor="TOC">
        <w:r>
          <w:rPr>
            <w:color w:val="0563C1"/>
            <w:u w:val="single"/>
          </w:rPr>
          <w:t>Back to Table of Contents</w:t>
        </w:r>
      </w:hyperlink>
    </w:p>
    <w:p>
      <w:r>
        <w:t>Snapshot evidence appears in workstation baseline and backup documentation. Snapshots are treated as operational checkpoints and backup-mode context rather than a substitute for tested recovery.</w:t>
      </w:r>
    </w:p>
    <w:p>
      <w:r>
        <w:t>The document keeps snapshot configuration separate from restore assurance.</w:t>
      </w:r>
    </w:p>
    <w:p>
      <w:bookmarkStart w:id="43" w:name="Archive_Integrity"/>
      <w:pPr>
        <w:pStyle w:val="Heading1"/>
      </w:pPr>
      <w:r>
        <w:t>Archive Integrity</w:t>
      </w:r>
      <w:bookmarkEnd w:id="43"/>
    </w:p>
    <w:p>
      <w:pPr>
        <w:spacing w:after="80"/>
      </w:pPr>
      <w:hyperlink w:anchor="TOC">
        <w:r>
          <w:rPr>
            <w:color w:val="0563C1"/>
            <w:u w:val="single"/>
          </w:rPr>
          <w:t>Back to Table of Contents</w:t>
        </w:r>
      </w:hyperlink>
    </w:p>
    <w:p>
      <w:r>
        <w:t>Archive integrity evidence includes SHA-256 hash records for published documentation and retained evidence packages. Hashes help reviewers verify that artifacts are stable and traceable.</w:t>
      </w:r>
    </w:p>
    <w:p>
      <w:r>
        <w:t>A hash proves file identity, not truth of every claim inside the file. The manifest therefore pairs hashes with claim boundaries and source paths.</w:t>
      </w:r>
    </w:p>
    <w:p>
      <w:bookmarkStart w:id="44" w:name="Restore_Testing"/>
      <w:pPr>
        <w:pStyle w:val="Heading1"/>
      </w:pPr>
      <w:r>
        <w:t>Restore Testing</w:t>
      </w:r>
      <w:bookmarkEnd w:id="44"/>
    </w:p>
    <w:p>
      <w:pPr>
        <w:spacing w:after="80"/>
      </w:pPr>
      <w:hyperlink w:anchor="TOC">
        <w:r>
          <w:rPr>
            <w:color w:val="0563C1"/>
            <w:u w:val="single"/>
          </w:rPr>
          <w:t>Back to Table of Contents</w:t>
        </w:r>
      </w:hyperlink>
    </w:p>
    <w:p>
      <w:r>
        <w:t>Retained documentation records isolated startup restore checks for temporary WS01 and Linux01 restore VMs, with network isolation and cleanup noted. Those temporary VMs are no longer present in current Proxmox inventory.</w:t>
      </w:r>
    </w:p>
    <w:p>
      <w:r>
        <w:t>The current records do not establish recurring disaster recovery assurance, RTO, RPO, or a standing recovery program. A future restore test would need fresh evidence with selected backup, restore target, isolation method, validation checks, and cleanup.</w:t>
      </w:r>
    </w:p>
    <w:p>
      <w:bookmarkStart w:id="45" w:name="Storage_Monitoring"/>
      <w:pPr>
        <w:pStyle w:val="Heading1"/>
      </w:pPr>
      <w:r>
        <w:t>Storage Monitoring</w:t>
      </w:r>
      <w:bookmarkEnd w:id="45"/>
    </w:p>
    <w:p>
      <w:pPr>
        <w:spacing w:after="80"/>
      </w:pPr>
      <w:hyperlink w:anchor="TOC">
        <w:r>
          <w:rPr>
            <w:color w:val="0563C1"/>
            <w:u w:val="single"/>
          </w:rPr>
          <w:t>Back to Table of Contents</w:t>
        </w:r>
      </w:hyperlink>
    </w:p>
    <w:p>
      <w:r>
        <w:t>Storage monitoring claims are limited to available inventory, utilization, and planning records. Backup storage is visible, but full monitoring maturity is not claimed.</w:t>
      </w:r>
    </w:p>
    <w:p>
      <w:r>
        <w:t>The logging expansion plan identifies disk-use thresholds and rotation concerns for Linux01, which demonstrates operations planning without claiming an implemented alerting platform.</w:t>
      </w:r>
    </w:p>
    <w:p>
      <w:bookmarkStart w:id="46" w:name="PowerShell_Automation"/>
      <w:pPr>
        <w:pStyle w:val="Heading1"/>
      </w:pPr>
      <w:r>
        <w:t>PowerShell Automation</w:t>
      </w:r>
      <w:bookmarkEnd w:id="46"/>
    </w:p>
    <w:p>
      <w:pPr>
        <w:spacing w:after="80"/>
      </w:pPr>
      <w:hyperlink w:anchor="TOC">
        <w:r>
          <w:rPr>
            <w:color w:val="0563C1"/>
            <w:u w:val="single"/>
          </w:rPr>
          <w:t>Back to Table of Contents</w:t>
        </w:r>
      </w:hyperlink>
    </w:p>
    <w:p>
      <w:r>
        <w:t>PowerShell automation appears in repository validation, read-only baseline tooling, evidence hash generation, link checks, and target-local Windows inventory scripts. It demonstrates repeatable operations work rather than one-off screenshots.</w:t>
      </w:r>
    </w:p>
    <w:p>
      <w:r>
        <w:t>The automation principle is consistent: collect read-only evidence, write structured outputs, avoid secrets, and validate repository quality before publication.</w:t>
      </w:r>
    </w:p>
    <w:p>
      <w:bookmarkStart w:id="47" w:name="Read_Only_Operations_Framework"/>
      <w:pPr>
        <w:pStyle w:val="Heading1"/>
      </w:pPr>
      <w:r>
        <w:t>Read-Only Operations Framework</w:t>
      </w:r>
      <w:bookmarkEnd w:id="47"/>
    </w:p>
    <w:p>
      <w:pPr>
        <w:spacing w:after="80"/>
      </w:pPr>
      <w:hyperlink w:anchor="TOC">
        <w:r>
          <w:rPr>
            <w:color w:val="0563C1"/>
            <w:u w:val="single"/>
          </w:rPr>
          <w:t>Back to Table of Contents</w:t>
        </w:r>
      </w:hyperlink>
    </w:p>
    <w:p>
      <w:r>
        <w:t>The read-only framework includes Proxmox inventory collection, route evidence, DNS checks, bounded TCP reachability checks, repository validation, and source reconciliation. It is deliberately constrained to avoid unauthorized infrastructure changes.</w:t>
      </w:r>
    </w:p>
    <w:p>
      <w:r>
        <w:t>Read-only validation is useful because it creates repeatable evidence while preserving production-safe habits: explicit scope, no secret capture, no configuration changes, and clear timeout wording.</w:t>
      </w:r>
    </w:p>
    <w:p>
      <w:bookmarkStart w:id="48" w:name="Authenticated_Target_Local_Inventories"/>
      <w:pPr>
        <w:pStyle w:val="Heading1"/>
      </w:pPr>
      <w:r>
        <w:t>Authenticated Target-Local Inventories</w:t>
      </w:r>
      <w:bookmarkEnd w:id="48"/>
    </w:p>
    <w:p>
      <w:pPr>
        <w:spacing w:after="80"/>
      </w:pPr>
      <w:hyperlink w:anchor="TOC">
        <w:r>
          <w:rPr>
            <w:color w:val="0563C1"/>
            <w:u w:val="single"/>
          </w:rPr>
          <w:t>Back to Table of Contents</w:t>
        </w:r>
      </w:hyperlink>
    </w:p>
    <w:p>
      <w:r>
        <w:t>Authenticated target-local inventories strengthen guest claims for DC01, WS01, and Linux01. These records provide more reliable guest-level evidence than external reachability alone.</w:t>
      </w:r>
    </w:p>
    <w:p>
      <w:r>
        <w:t>Target-local collection is especially important where remote client context lacks modules, firewall access, or guest-agent response.</w:t>
      </w:r>
    </w:p>
    <w:p>
      <w:bookmarkStart w:id="49" w:name="Troubleshooting_and_Remediation"/>
      <w:pPr>
        <w:pStyle w:val="Heading1"/>
      </w:pPr>
      <w:r>
        <w:t>Troubleshooting and Remediation</w:t>
      </w:r>
      <w:bookmarkEnd w:id="49"/>
    </w:p>
    <w:p>
      <w:pPr>
        <w:spacing w:after="80"/>
      </w:pPr>
      <w:hyperlink w:anchor="TOC">
        <w:r>
          <w:rPr>
            <w:color w:val="0563C1"/>
            <w:u w:val="single"/>
          </w:rPr>
          <w:t>Back to Table of Contents</w:t>
        </w:r>
      </w:hyperlink>
    </w:p>
    <w:p>
      <w:r>
        <w:t>The strongest remediation example is Linux01 SSSD. It shows diagnosis, backup, configuration correction, service recovery, failed-state cleanup, identity lookup, and AD-authenticated SSH validation.</w:t>
      </w:r>
    </w:p>
    <w:p>
      <w:r>
        <w:t>WS01 screenshots also support troubleshooting practice around RDP, NLA, DNS, DHCP, firewall rules, and workstation identity. These are presented as support and lab operations evidence, not production incident claims.</w:t>
      </w:r>
    </w:p>
    <w:p>
      <w:bookmarkStart w:id="50" w:name="Known_Limitations"/>
      <w:pPr>
        <w:pStyle w:val="Heading1"/>
      </w:pPr>
      <w:r>
        <w:t>Known Limitations</w:t>
      </w:r>
      <w:bookmarkEnd w:id="50"/>
    </w:p>
    <w:p>
      <w:pPr>
        <w:spacing w:after="80"/>
      </w:pPr>
      <w:hyperlink w:anchor="TOC">
        <w:r>
          <w:rPr>
            <w:color w:val="0563C1"/>
            <w:u w:val="single"/>
          </w:rPr>
          <w:t>Back to Table of Contents</w:t>
        </w:r>
      </w:hyperlink>
    </w:p>
    <w:p>
      <w:r>
        <w:t>Known limitations include personal lab scope, no employer production administration claim, no client infrastructure ownership, no enterprise scale claim, no guaranteed uptime, no full security assurance, and no recurring restore assurance.</w:t>
      </w:r>
    </w:p>
    <w:p>
      <w:r>
        <w:t>Timeout observations remain timeout observations. Historical screenshots remain useful only when labeled and scoped correctly.</w:t>
      </w:r>
    </w:p>
    <w:p>
      <w:pPr>
        <w:pStyle w:val="Caption"/>
      </w:pPr>
      <w:r>
        <w:t>Table 5. Non-negotiable public claim boundaries.</w:t>
      </w:r>
    </w:p>
    <w:tbl>
      <w:tblPr>
        <w:tblStyle w:val="TableGrid"/>
        <w:tblW w:type="dxa" w:w="9360"/>
        <w:jc w:val="center"/>
        <w:tblLook w:firstColumn="1" w:firstRow="1" w:lastColumn="0" w:lastRow="0" w:noHBand="0" w:noVBand="1" w:val="04A0"/>
        <w:tblInd w:type="dxa" w:w="120"/>
      </w:tblPr>
      <w:tblGrid>
        <w:gridCol w:w="1800"/>
        <w:gridCol w:w="3600"/>
        <w:gridCol w:w="3960"/>
      </w:tblGrid>
      <w:tr>
        <w:trPr>
          <w:tblHeader w:val="true"/>
        </w:trPr>
        <w:tc>
          <w:tcPr>
            <w:tcW w:type="dxa" w:w="1800"/>
            <w:tcMar>
              <w:top w:w="80" w:type="dxa"/>
              <w:bottom w:w="80" w:type="dxa"/>
              <w:start w:w="120" w:type="dxa"/>
              <w:end w:w="120" w:type="dxa"/>
            </w:tcMar>
            <w:vAlign w:val="center"/>
            <w:shd w:fill="E8EEF5"/>
          </w:tcPr>
          <w:p>
            <w:pPr>
              <w:spacing w:after="0"/>
            </w:pPr>
            <w:r>
              <w:rPr>
                <w:rFonts w:ascii="Calibri" w:hAnsi="Calibri"/>
                <w:b/>
                <w:sz w:val="18"/>
              </w:rPr>
              <w:t>Area</w:t>
            </w:r>
          </w:p>
        </w:tc>
        <w:tc>
          <w:tcPr>
            <w:tcW w:type="dxa" w:w="3600"/>
            <w:tcMar>
              <w:top w:w="80" w:type="dxa"/>
              <w:bottom w:w="80" w:type="dxa"/>
              <w:start w:w="120" w:type="dxa"/>
              <w:end w:w="120" w:type="dxa"/>
            </w:tcMar>
            <w:vAlign w:val="center"/>
            <w:shd w:fill="E8EEF5"/>
          </w:tcPr>
          <w:p>
            <w:pPr>
              <w:spacing w:after="0"/>
            </w:pPr>
            <w:r>
              <w:rPr>
                <w:rFonts w:ascii="Calibri" w:hAnsi="Calibri"/>
                <w:b/>
                <w:sz w:val="18"/>
              </w:rPr>
              <w:t>Not claimed</w:t>
            </w:r>
          </w:p>
        </w:tc>
        <w:tc>
          <w:tcPr>
            <w:tcW w:type="dxa" w:w="3960"/>
            <w:tcMar>
              <w:top w:w="80" w:type="dxa"/>
              <w:bottom w:w="80" w:type="dxa"/>
              <w:start w:w="120" w:type="dxa"/>
              <w:end w:w="120" w:type="dxa"/>
            </w:tcMar>
            <w:vAlign w:val="center"/>
            <w:shd w:fill="E8EEF5"/>
          </w:tcPr>
          <w:p>
            <w:pPr>
              <w:spacing w:after="0"/>
            </w:pPr>
            <w:r>
              <w:rPr>
                <w:rFonts w:ascii="Calibri" w:hAnsi="Calibri"/>
                <w:b/>
                <w:sz w:val="18"/>
              </w:rPr>
              <w:t>Reason</w:t>
            </w:r>
          </w:p>
        </w:tc>
      </w:tr>
      <w:tr>
        <w:tc>
          <w:tcPr>
            <w:tcW w:type="dxa" w:w="1800"/>
            <w:vAlign w:val="center"/>
          </w:tcPr>
          <w:p>
            <w:pPr>
              <w:spacing w:after="0"/>
            </w:pPr>
            <w:r>
              <w:rPr>
                <w:rFonts w:ascii="Calibri" w:hAnsi="Calibri"/>
                <w:b w:val="0"/>
                <w:sz w:val="18"/>
              </w:rPr>
              <w:t>Employment</w:t>
            </w:r>
          </w:p>
        </w:tc>
        <w:tc>
          <w:tcPr>
            <w:tcW w:type="dxa" w:w="3600"/>
            <w:vAlign w:val="center"/>
          </w:tcPr>
          <w:p>
            <w:pPr>
              <w:spacing w:after="0"/>
            </w:pPr>
            <w:r>
              <w:rPr>
                <w:rFonts w:ascii="Calibri" w:hAnsi="Calibri"/>
                <w:b w:val="0"/>
                <w:sz w:val="18"/>
              </w:rPr>
              <w:t>Employer production administration</w:t>
            </w:r>
          </w:p>
        </w:tc>
        <w:tc>
          <w:tcPr>
            <w:tcW w:type="dxa" w:w="3960"/>
            <w:vAlign w:val="center"/>
          </w:tcPr>
          <w:p>
            <w:pPr>
              <w:spacing w:after="0"/>
            </w:pPr>
            <w:r>
              <w:rPr>
                <w:rFonts w:ascii="Calibri" w:hAnsi="Calibri"/>
                <w:b w:val="0"/>
                <w:sz w:val="18"/>
              </w:rPr>
              <w:t>Personal lab evidence is separate from work history.</w:t>
            </w:r>
          </w:p>
        </w:tc>
      </w:tr>
      <w:tr>
        <w:tc>
          <w:tcPr>
            <w:tcW w:type="dxa" w:w="1800"/>
            <w:vAlign w:val="center"/>
          </w:tcPr>
          <w:p>
            <w:pPr>
              <w:spacing w:after="0"/>
            </w:pPr>
            <w:r>
              <w:rPr>
                <w:rFonts w:ascii="Calibri" w:hAnsi="Calibri"/>
                <w:b w:val="0"/>
                <w:sz w:val="18"/>
              </w:rPr>
              <w:t>Scale</w:t>
            </w:r>
          </w:p>
        </w:tc>
        <w:tc>
          <w:tcPr>
            <w:tcW w:type="dxa" w:w="3600"/>
            <w:vAlign w:val="center"/>
          </w:tcPr>
          <w:p>
            <w:pPr>
              <w:spacing w:after="0"/>
            </w:pPr>
            <w:r>
              <w:rPr>
                <w:rFonts w:ascii="Calibri" w:hAnsi="Calibri"/>
                <w:b w:val="0"/>
                <w:sz w:val="18"/>
              </w:rPr>
              <w:t>Enterprise-scale operations</w:t>
            </w:r>
          </w:p>
        </w:tc>
        <w:tc>
          <w:tcPr>
            <w:tcW w:type="dxa" w:w="3960"/>
            <w:vAlign w:val="center"/>
          </w:tcPr>
          <w:p>
            <w:pPr>
              <w:spacing w:after="0"/>
            </w:pPr>
            <w:r>
              <w:rPr>
                <w:rFonts w:ascii="Calibri" w:hAnsi="Calibri"/>
                <w:b w:val="0"/>
                <w:sz w:val="18"/>
              </w:rPr>
              <w:t>Single personal lab environment.</w:t>
            </w:r>
          </w:p>
        </w:tc>
      </w:tr>
      <w:tr>
        <w:tc>
          <w:tcPr>
            <w:tcW w:type="dxa" w:w="1800"/>
            <w:vAlign w:val="center"/>
          </w:tcPr>
          <w:p>
            <w:pPr>
              <w:spacing w:after="0"/>
            </w:pPr>
            <w:r>
              <w:rPr>
                <w:rFonts w:ascii="Calibri" w:hAnsi="Calibri"/>
                <w:b w:val="0"/>
                <w:sz w:val="18"/>
              </w:rPr>
              <w:t>Availability</w:t>
            </w:r>
          </w:p>
        </w:tc>
        <w:tc>
          <w:tcPr>
            <w:tcW w:type="dxa" w:w="3600"/>
            <w:vAlign w:val="center"/>
          </w:tcPr>
          <w:p>
            <w:pPr>
              <w:spacing w:after="0"/>
            </w:pPr>
            <w:r>
              <w:rPr>
                <w:rFonts w:ascii="Calibri" w:hAnsi="Calibri"/>
                <w:b w:val="0"/>
                <w:sz w:val="18"/>
              </w:rPr>
              <w:t>Guaranteed uptime</w:t>
            </w:r>
          </w:p>
        </w:tc>
        <w:tc>
          <w:tcPr>
            <w:tcW w:type="dxa" w:w="3960"/>
            <w:vAlign w:val="center"/>
          </w:tcPr>
          <w:p>
            <w:pPr>
              <w:spacing w:after="0"/>
            </w:pPr>
            <w:r>
              <w:rPr>
                <w:rFonts w:ascii="Calibri" w:hAnsi="Calibri"/>
                <w:b w:val="0"/>
                <w:sz w:val="18"/>
              </w:rPr>
              <w:t>No production SLA evidence.</w:t>
            </w:r>
          </w:p>
        </w:tc>
      </w:tr>
      <w:tr>
        <w:tc>
          <w:tcPr>
            <w:tcW w:type="dxa" w:w="1800"/>
            <w:vAlign w:val="center"/>
          </w:tcPr>
          <w:p>
            <w:pPr>
              <w:spacing w:after="0"/>
            </w:pPr>
            <w:r>
              <w:rPr>
                <w:rFonts w:ascii="Calibri" w:hAnsi="Calibri"/>
                <w:b w:val="0"/>
                <w:sz w:val="18"/>
              </w:rPr>
              <w:t>Security</w:t>
            </w:r>
          </w:p>
        </w:tc>
        <w:tc>
          <w:tcPr>
            <w:tcW w:type="dxa" w:w="3600"/>
            <w:vAlign w:val="center"/>
          </w:tcPr>
          <w:p>
            <w:pPr>
              <w:spacing w:after="0"/>
            </w:pPr>
            <w:r>
              <w:rPr>
                <w:rFonts w:ascii="Calibri" w:hAnsi="Calibri"/>
                <w:b w:val="0"/>
                <w:sz w:val="18"/>
              </w:rPr>
              <w:t>Full security assurance</w:t>
            </w:r>
          </w:p>
        </w:tc>
        <w:tc>
          <w:tcPr>
            <w:tcW w:type="dxa" w:w="3960"/>
            <w:vAlign w:val="center"/>
          </w:tcPr>
          <w:p>
            <w:pPr>
              <w:spacing w:after="0"/>
            </w:pPr>
            <w:r>
              <w:rPr>
                <w:rFonts w:ascii="Calibri" w:hAnsi="Calibri"/>
                <w:b w:val="0"/>
                <w:sz w:val="18"/>
              </w:rPr>
              <w:t>Configuration and tests are scoped.</w:t>
            </w:r>
          </w:p>
        </w:tc>
      </w:tr>
      <w:tr>
        <w:tc>
          <w:tcPr>
            <w:tcW w:type="dxa" w:w="1800"/>
            <w:vAlign w:val="center"/>
          </w:tcPr>
          <w:p>
            <w:pPr>
              <w:spacing w:after="0"/>
            </w:pPr>
            <w:r>
              <w:rPr>
                <w:rFonts w:ascii="Calibri" w:hAnsi="Calibri"/>
                <w:b w:val="0"/>
                <w:sz w:val="18"/>
              </w:rPr>
              <w:t>Recovery</w:t>
            </w:r>
          </w:p>
        </w:tc>
        <w:tc>
          <w:tcPr>
            <w:tcW w:type="dxa" w:w="3600"/>
            <w:vAlign w:val="center"/>
          </w:tcPr>
          <w:p>
            <w:pPr>
              <w:spacing w:after="0"/>
            </w:pPr>
            <w:r>
              <w:rPr>
                <w:rFonts w:ascii="Calibri" w:hAnsi="Calibri"/>
                <w:b w:val="0"/>
                <w:sz w:val="18"/>
              </w:rPr>
              <w:t>Recurring DR, RTO, or RPO</w:t>
            </w:r>
          </w:p>
        </w:tc>
        <w:tc>
          <w:tcPr>
            <w:tcW w:type="dxa" w:w="3960"/>
            <w:vAlign w:val="center"/>
          </w:tcPr>
          <w:p>
            <w:pPr>
              <w:spacing w:after="0"/>
            </w:pPr>
            <w:r>
              <w:rPr>
                <w:rFonts w:ascii="Calibri" w:hAnsi="Calibri"/>
                <w:b w:val="0"/>
                <w:sz w:val="18"/>
              </w:rPr>
              <w:t>Only retained isolated restore checks are documented.</w:t>
            </w:r>
          </w:p>
        </w:tc>
      </w:tr>
    </w:tbl>
    <w:p/>
    <w:p>
      <w:bookmarkStart w:id="51" w:name="Skills_Demonstrated"/>
      <w:pPr>
        <w:pStyle w:val="Heading1"/>
      </w:pPr>
      <w:r>
        <w:t>Skills Demonstrated</w:t>
      </w:r>
      <w:bookmarkEnd w:id="51"/>
    </w:p>
    <w:p>
      <w:pPr>
        <w:spacing w:after="80"/>
      </w:pPr>
      <w:hyperlink w:anchor="TOC">
        <w:r>
          <w:rPr>
            <w:color w:val="0563C1"/>
            <w:u w:val="single"/>
          </w:rPr>
          <w:t>Back to Table of Contents</w:t>
        </w:r>
      </w:hyperlink>
    </w:p>
    <w:p>
      <w:r>
        <w:t>The lab demonstrates service-desk-to-infrastructure growth: troubleshooting, documentation, Active Directory fundamentals, DNS and DHCP awareness, Windows workstation administration, Linux administration, PowerShell automation, evidence governance, and cautious public communication.</w:t>
      </w:r>
    </w:p>
    <w:p>
      <w:r>
        <w:t>The strongest professional signal is not a single tool. It is the habit of connecting claims to artifacts, stating limitations plainly, and validating before publishing.</w:t>
      </w:r>
    </w:p>
    <w:p>
      <w:bookmarkStart w:id="52" w:name="Conclusion"/>
      <w:pPr>
        <w:pStyle w:val="Heading1"/>
      </w:pPr>
      <w:r>
        <w:t>Conclusion</w:t>
      </w:r>
      <w:bookmarkEnd w:id="52"/>
    </w:p>
    <w:p>
      <w:pPr>
        <w:spacing w:after="80"/>
      </w:pPr>
      <w:hyperlink w:anchor="TOC">
        <w:r>
          <w:rPr>
            <w:color w:val="0563C1"/>
            <w:u w:val="single"/>
          </w:rPr>
          <w:t>Back to Table of Contents</w:t>
        </w:r>
      </w:hyperlink>
    </w:p>
    <w:p>
      <w:r>
        <w:t>Jeremy Fontenot's on-premises home lab is a credible personal infrastructure portfolio because it is documented with current-state evidence, carefully bounded public claims, and reviewer-accessible artifacts.</w:t>
      </w:r>
    </w:p>
    <w:p>
      <w:r>
        <w:t>The environment supports a clear career narrative: experienced Service Desk professional actively building evidence and validation toward Systems Administration and Infrastructure Operations.</w:t>
      </w:r>
    </w:p>
    <w:p>
      <w:bookmarkStart w:id="53" w:name="References"/>
      <w:pPr>
        <w:pStyle w:val="Heading1"/>
      </w:pPr>
      <w:r>
        <w:t>References</w:t>
      </w:r>
      <w:bookmarkEnd w:id="53"/>
    </w:p>
    <w:p>
      <w:pPr>
        <w:spacing w:after="80"/>
      </w:pPr>
      <w:hyperlink w:anchor="TOC">
        <w:r>
          <w:rPr>
            <w:color w:val="0563C1"/>
            <w:u w:val="single"/>
          </w:rPr>
          <w:t>Back to Table of Contents</w:t>
        </w:r>
      </w:hyperlink>
    </w:p>
    <w:p>
      <w:pPr>
        <w:ind w:left="720" w:hanging="720"/>
      </w:pPr>
      <w:r>
        <w:t>Fontenot, J. (2026). Home lab source-of-truth repository records. fontenotjeremy71-hub/jeremy-homelab-ops, commit 3d42a4808a6a0607d78f4f4e7fd1e71783729a6b.</w:t>
      </w:r>
    </w:p>
    <w:p>
      <w:pPr>
        <w:ind w:left="720" w:hanging="720"/>
      </w:pPr>
      <w:r>
        <w:t>Fontenot, J. (2026). Public evidence library and portfolio repository. fontenotjeremy71-hub/JeremyFontenot.github.io, working source effdbeb0ed8d632a0b0c93328cd593cf85c3eb46.</w:t>
      </w:r>
    </w:p>
    <w:p>
      <w:pPr>
        <w:ind w:left="720" w:hanging="720"/>
      </w:pPr>
      <w:r>
        <w:t>American Psychological Association. (2020). Publication manual of the American Psychological Association (7th ed.).</w:t>
      </w:r>
    </w:p>
    <w:p>
      <w:bookmarkStart w:id="54" w:name="Appendices"/>
      <w:pPr>
        <w:pStyle w:val="Heading1"/>
      </w:pPr>
      <w:r>
        <w:t>Appendices</w:t>
      </w:r>
      <w:bookmarkEnd w:id="54"/>
    </w:p>
    <w:p>
      <w:pPr>
        <w:spacing w:after="80"/>
      </w:pPr>
      <w:hyperlink w:anchor="TOC">
        <w:r>
          <w:rPr>
            <w:color w:val="0563C1"/>
            <w:u w:val="single"/>
          </w:rPr>
          <w:t>Back to Table of Contents</w:t>
        </w:r>
      </w:hyperlink>
    </w:p>
    <w:p>
      <w:r>
        <w:t>Appendix A lists the primary source artifacts. Appendix B summarizes claim boundaries. Appendix C maps required topics to document sections. Appendix D records the clickable TOC validation results.</w:t>
      </w:r>
    </w:p>
    <w:p>
      <w:pPr>
        <w:pStyle w:val="Caption"/>
      </w:pPr>
      <w:r>
        <w:t>Table 6. Required section-coverage matrix.</w:t>
      </w:r>
    </w:p>
    <w:tbl>
      <w:tblPr>
        <w:tblStyle w:val="TableGrid"/>
        <w:tblW w:type="dxa" w:w="9360"/>
        <w:jc w:val="center"/>
        <w:tblLook w:firstColumn="1" w:firstRow="1" w:lastColumn="0" w:lastRow="0" w:noHBand="0" w:noVBand="1" w:val="04A0"/>
        <w:tblInd w:type="dxa" w:w="120"/>
      </w:tblPr>
      <w:tblGrid>
        <w:gridCol w:w="3900"/>
        <w:gridCol w:w="5460"/>
      </w:tblGrid>
      <w:tr>
        <w:trPr>
          <w:tblHeader w:val="true"/>
        </w:trPr>
        <w:tc>
          <w:tcPr>
            <w:tcW w:type="dxa" w:w="3900"/>
            <w:tcMar>
              <w:top w:w="80" w:type="dxa"/>
              <w:bottom w:w="80" w:type="dxa"/>
              <w:start w:w="120" w:type="dxa"/>
              <w:end w:w="120" w:type="dxa"/>
            </w:tcMar>
            <w:vAlign w:val="center"/>
            <w:shd w:fill="E8EEF5"/>
          </w:tcPr>
          <w:p>
            <w:pPr>
              <w:spacing w:after="0"/>
            </w:pPr>
            <w:r>
              <w:rPr>
                <w:rFonts w:ascii="Calibri" w:hAnsi="Calibri"/>
                <w:b/>
                <w:sz w:val="18"/>
              </w:rPr>
              <w:t>Topic</w:t>
            </w:r>
          </w:p>
        </w:tc>
        <w:tc>
          <w:tcPr>
            <w:tcW w:type="dxa" w:w="5460"/>
            <w:tcMar>
              <w:top w:w="80" w:type="dxa"/>
              <w:bottom w:w="80" w:type="dxa"/>
              <w:start w:w="120" w:type="dxa"/>
              <w:end w:w="120" w:type="dxa"/>
            </w:tcMar>
            <w:vAlign w:val="center"/>
            <w:shd w:fill="E8EEF5"/>
          </w:tcPr>
          <w:p>
            <w:pPr>
              <w:spacing w:after="0"/>
            </w:pPr>
            <w:r>
              <w:rPr>
                <w:rFonts w:ascii="Calibri" w:hAnsi="Calibri"/>
                <w:b/>
                <w:sz w:val="18"/>
              </w:rPr>
              <w:t>Document location</w:t>
            </w:r>
          </w:p>
        </w:tc>
      </w:tr>
      <w:tr>
        <w:tc>
          <w:tcPr>
            <w:tcW w:type="dxa" w:w="3900"/>
            <w:vAlign w:val="center"/>
          </w:tcPr>
          <w:p>
            <w:pPr>
              <w:spacing w:after="0"/>
            </w:pPr>
            <w:r>
              <w:rPr>
                <w:rFonts w:ascii="Calibri" w:hAnsi="Calibri"/>
                <w:b w:val="0"/>
                <w:sz w:val="18"/>
              </w:rPr>
              <w:t>Title page</w:t>
            </w:r>
          </w:p>
        </w:tc>
        <w:tc>
          <w:tcPr>
            <w:tcW w:type="dxa" w:w="5460"/>
            <w:vAlign w:val="center"/>
          </w:tcPr>
          <w:p>
            <w:pPr>
              <w:spacing w:after="0"/>
            </w:pPr>
            <w:r>
              <w:rPr>
                <w:rFonts w:ascii="Calibri" w:hAnsi="Calibri"/>
                <w:b w:val="0"/>
                <w:sz w:val="18"/>
              </w:rPr>
              <w:t>Title page</w:t>
            </w:r>
          </w:p>
        </w:tc>
      </w:tr>
      <w:tr>
        <w:tc>
          <w:tcPr>
            <w:tcW w:type="dxa" w:w="3900"/>
            <w:vAlign w:val="center"/>
          </w:tcPr>
          <w:p>
            <w:pPr>
              <w:spacing w:after="0"/>
            </w:pPr>
            <w:r>
              <w:rPr>
                <w:rFonts w:ascii="Calibri" w:hAnsi="Calibri"/>
                <w:b w:val="0"/>
                <w:sz w:val="18"/>
              </w:rPr>
              <w:t>Abstract</w:t>
            </w:r>
          </w:p>
        </w:tc>
        <w:tc>
          <w:tcPr>
            <w:tcW w:type="dxa" w:w="5460"/>
            <w:vAlign w:val="center"/>
          </w:tcPr>
          <w:p>
            <w:pPr>
              <w:spacing w:after="0"/>
            </w:pPr>
            <w:r>
              <w:rPr>
                <w:rFonts w:ascii="Calibri" w:hAnsi="Calibri"/>
                <w:b w:val="0"/>
                <w:sz w:val="18"/>
              </w:rPr>
              <w:t>Abstract</w:t>
            </w:r>
          </w:p>
        </w:tc>
      </w:tr>
      <w:tr>
        <w:tc>
          <w:tcPr>
            <w:tcW w:type="dxa" w:w="3900"/>
            <w:vAlign w:val="center"/>
          </w:tcPr>
          <w:p>
            <w:pPr>
              <w:spacing w:after="0"/>
            </w:pPr>
            <w:r>
              <w:rPr>
                <w:rFonts w:ascii="Calibri" w:hAnsi="Calibri"/>
                <w:b w:val="0"/>
                <w:sz w:val="18"/>
              </w:rPr>
              <w:t>Purpose and scope</w:t>
            </w:r>
          </w:p>
        </w:tc>
        <w:tc>
          <w:tcPr>
            <w:tcW w:type="dxa" w:w="5460"/>
            <w:vAlign w:val="center"/>
          </w:tcPr>
          <w:p>
            <w:pPr>
              <w:spacing w:after="0"/>
            </w:pPr>
            <w:r>
              <w:rPr>
                <w:rFonts w:ascii="Calibri" w:hAnsi="Calibri"/>
                <w:b w:val="0"/>
                <w:sz w:val="18"/>
              </w:rPr>
              <w:t>Purpose and scope</w:t>
            </w:r>
          </w:p>
        </w:tc>
      </w:tr>
      <w:tr>
        <w:tc>
          <w:tcPr>
            <w:tcW w:type="dxa" w:w="3900"/>
            <w:vAlign w:val="center"/>
          </w:tcPr>
          <w:p>
            <w:pPr>
              <w:spacing w:after="0"/>
            </w:pPr>
            <w:r>
              <w:rPr>
                <w:rFonts w:ascii="Calibri" w:hAnsi="Calibri"/>
                <w:b w:val="0"/>
                <w:sz w:val="18"/>
              </w:rPr>
              <w:t>Environment boundaries</w:t>
            </w:r>
          </w:p>
        </w:tc>
        <w:tc>
          <w:tcPr>
            <w:tcW w:type="dxa" w:w="5460"/>
            <w:vAlign w:val="center"/>
          </w:tcPr>
          <w:p>
            <w:pPr>
              <w:spacing w:after="0"/>
            </w:pPr>
            <w:r>
              <w:rPr>
                <w:rFonts w:ascii="Calibri" w:hAnsi="Calibri"/>
                <w:b w:val="0"/>
                <w:sz w:val="18"/>
              </w:rPr>
              <w:t>Environment boundaries</w:t>
            </w:r>
          </w:p>
        </w:tc>
      </w:tr>
      <w:tr>
        <w:tc>
          <w:tcPr>
            <w:tcW w:type="dxa" w:w="3900"/>
            <w:vAlign w:val="center"/>
          </w:tcPr>
          <w:p>
            <w:pPr>
              <w:spacing w:after="0"/>
            </w:pPr>
            <w:r>
              <w:rPr>
                <w:rFonts w:ascii="Calibri" w:hAnsi="Calibri"/>
                <w:b w:val="0"/>
                <w:sz w:val="18"/>
              </w:rPr>
              <w:t>Evidence methodology</w:t>
            </w:r>
          </w:p>
        </w:tc>
        <w:tc>
          <w:tcPr>
            <w:tcW w:type="dxa" w:w="5460"/>
            <w:vAlign w:val="center"/>
          </w:tcPr>
          <w:p>
            <w:pPr>
              <w:spacing w:after="0"/>
            </w:pPr>
            <w:r>
              <w:rPr>
                <w:rFonts w:ascii="Calibri" w:hAnsi="Calibri"/>
                <w:b w:val="0"/>
                <w:sz w:val="18"/>
              </w:rPr>
              <w:t>Evidence methodology</w:t>
            </w:r>
          </w:p>
        </w:tc>
      </w:tr>
      <w:tr>
        <w:tc>
          <w:tcPr>
            <w:tcW w:type="dxa" w:w="3900"/>
            <w:vAlign w:val="center"/>
          </w:tcPr>
          <w:p>
            <w:pPr>
              <w:spacing w:after="0"/>
            </w:pPr>
            <w:r>
              <w:rPr>
                <w:rFonts w:ascii="Calibri" w:hAnsi="Calibri"/>
                <w:b w:val="0"/>
                <w:sz w:val="18"/>
              </w:rPr>
              <w:t>Evidence classification</w:t>
            </w:r>
          </w:p>
        </w:tc>
        <w:tc>
          <w:tcPr>
            <w:tcW w:type="dxa" w:w="5460"/>
            <w:vAlign w:val="center"/>
          </w:tcPr>
          <w:p>
            <w:pPr>
              <w:spacing w:after="0"/>
            </w:pPr>
            <w:r>
              <w:rPr>
                <w:rFonts w:ascii="Calibri" w:hAnsi="Calibri"/>
                <w:b w:val="0"/>
                <w:sz w:val="18"/>
              </w:rPr>
              <w:t>Evidence classification</w:t>
            </w:r>
          </w:p>
        </w:tc>
      </w:tr>
      <w:tr>
        <w:tc>
          <w:tcPr>
            <w:tcW w:type="dxa" w:w="3900"/>
            <w:vAlign w:val="center"/>
          </w:tcPr>
          <w:p>
            <w:pPr>
              <w:spacing w:after="0"/>
            </w:pPr>
            <w:r>
              <w:rPr>
                <w:rFonts w:ascii="Calibri" w:hAnsi="Calibri"/>
                <w:b w:val="0"/>
                <w:sz w:val="18"/>
              </w:rPr>
              <w:t>Physical server architecture</w:t>
            </w:r>
          </w:p>
        </w:tc>
        <w:tc>
          <w:tcPr>
            <w:tcW w:type="dxa" w:w="5460"/>
            <w:vAlign w:val="center"/>
          </w:tcPr>
          <w:p>
            <w:pPr>
              <w:spacing w:after="0"/>
            </w:pPr>
            <w:r>
              <w:rPr>
                <w:rFonts w:ascii="Calibri" w:hAnsi="Calibri"/>
                <w:b w:val="0"/>
                <w:sz w:val="18"/>
              </w:rPr>
              <w:t>Physical server architecture</w:t>
            </w:r>
          </w:p>
        </w:tc>
      </w:tr>
      <w:tr>
        <w:tc>
          <w:tcPr>
            <w:tcW w:type="dxa" w:w="3900"/>
            <w:vAlign w:val="center"/>
          </w:tcPr>
          <w:p>
            <w:pPr>
              <w:spacing w:after="0"/>
            </w:pPr>
            <w:r>
              <w:rPr>
                <w:rFonts w:ascii="Calibri" w:hAnsi="Calibri"/>
                <w:b w:val="0"/>
                <w:sz w:val="18"/>
              </w:rPr>
              <w:t>Proxmox virtualization</w:t>
            </w:r>
          </w:p>
        </w:tc>
        <w:tc>
          <w:tcPr>
            <w:tcW w:type="dxa" w:w="5460"/>
            <w:vAlign w:val="center"/>
          </w:tcPr>
          <w:p>
            <w:pPr>
              <w:spacing w:after="0"/>
            </w:pPr>
            <w:r>
              <w:rPr>
                <w:rFonts w:ascii="Calibri" w:hAnsi="Calibri"/>
                <w:b w:val="0"/>
                <w:sz w:val="18"/>
              </w:rPr>
              <w:t>Proxmox virtualization</w:t>
            </w:r>
          </w:p>
        </w:tc>
      </w:tr>
      <w:tr>
        <w:tc>
          <w:tcPr>
            <w:tcW w:type="dxa" w:w="3900"/>
            <w:vAlign w:val="center"/>
          </w:tcPr>
          <w:p>
            <w:pPr>
              <w:spacing w:after="0"/>
            </w:pPr>
            <w:r>
              <w:rPr>
                <w:rFonts w:ascii="Calibri" w:hAnsi="Calibri"/>
                <w:b w:val="0"/>
                <w:sz w:val="18"/>
              </w:rPr>
              <w:t>Storage architecture</w:t>
            </w:r>
          </w:p>
        </w:tc>
        <w:tc>
          <w:tcPr>
            <w:tcW w:type="dxa" w:w="5460"/>
            <w:vAlign w:val="center"/>
          </w:tcPr>
          <w:p>
            <w:pPr>
              <w:spacing w:after="0"/>
            </w:pPr>
            <w:r>
              <w:rPr>
                <w:rFonts w:ascii="Calibri" w:hAnsi="Calibri"/>
                <w:b w:val="0"/>
                <w:sz w:val="18"/>
              </w:rPr>
              <w:t>Storage architecture</w:t>
            </w:r>
          </w:p>
        </w:tc>
      </w:tr>
      <w:tr>
        <w:tc>
          <w:tcPr>
            <w:tcW w:type="dxa" w:w="3900"/>
            <w:vAlign w:val="center"/>
          </w:tcPr>
          <w:p>
            <w:pPr>
              <w:spacing w:after="0"/>
            </w:pPr>
            <w:r>
              <w:rPr>
                <w:rFonts w:ascii="Calibri" w:hAnsi="Calibri"/>
                <w:b w:val="0"/>
                <w:sz w:val="18"/>
              </w:rPr>
              <w:t>pfSense</w:t>
            </w:r>
          </w:p>
        </w:tc>
        <w:tc>
          <w:tcPr>
            <w:tcW w:type="dxa" w:w="5460"/>
            <w:vAlign w:val="center"/>
          </w:tcPr>
          <w:p>
            <w:pPr>
              <w:spacing w:after="0"/>
            </w:pPr>
            <w:r>
              <w:rPr>
                <w:rFonts w:ascii="Calibri" w:hAnsi="Calibri"/>
                <w:b w:val="0"/>
                <w:sz w:val="18"/>
              </w:rPr>
              <w:t>pfSense</w:t>
            </w:r>
          </w:p>
        </w:tc>
      </w:tr>
      <w:tr>
        <w:tc>
          <w:tcPr>
            <w:tcW w:type="dxa" w:w="3900"/>
            <w:vAlign w:val="center"/>
          </w:tcPr>
          <w:p>
            <w:pPr>
              <w:spacing w:after="0"/>
            </w:pPr>
            <w:r>
              <w:rPr>
                <w:rFonts w:ascii="Calibri" w:hAnsi="Calibri"/>
                <w:b w:val="0"/>
                <w:sz w:val="18"/>
              </w:rPr>
              <w:t>Network bridges</w:t>
            </w:r>
          </w:p>
        </w:tc>
        <w:tc>
          <w:tcPr>
            <w:tcW w:type="dxa" w:w="5460"/>
            <w:vAlign w:val="center"/>
          </w:tcPr>
          <w:p>
            <w:pPr>
              <w:spacing w:after="0"/>
            </w:pPr>
            <w:r>
              <w:rPr>
                <w:rFonts w:ascii="Calibri" w:hAnsi="Calibri"/>
                <w:b w:val="0"/>
                <w:sz w:val="18"/>
              </w:rPr>
              <w:t>Network bridges</w:t>
            </w:r>
          </w:p>
        </w:tc>
      </w:tr>
      <w:tr>
        <w:tc>
          <w:tcPr>
            <w:tcW w:type="dxa" w:w="3900"/>
            <w:vAlign w:val="center"/>
          </w:tcPr>
          <w:p>
            <w:pPr>
              <w:spacing w:after="0"/>
            </w:pPr>
            <w:r>
              <w:rPr>
                <w:rFonts w:ascii="Calibri" w:hAnsi="Calibri"/>
                <w:b w:val="0"/>
                <w:sz w:val="18"/>
              </w:rPr>
              <w:t>VLANs</w:t>
            </w:r>
          </w:p>
        </w:tc>
        <w:tc>
          <w:tcPr>
            <w:tcW w:type="dxa" w:w="5460"/>
            <w:vAlign w:val="center"/>
          </w:tcPr>
          <w:p>
            <w:pPr>
              <w:spacing w:after="0"/>
            </w:pPr>
            <w:r>
              <w:rPr>
                <w:rFonts w:ascii="Calibri" w:hAnsi="Calibri"/>
                <w:b w:val="0"/>
                <w:sz w:val="18"/>
              </w:rPr>
              <w:t>VLANs</w:t>
            </w:r>
          </w:p>
        </w:tc>
      </w:tr>
      <w:tr>
        <w:tc>
          <w:tcPr>
            <w:tcW w:type="dxa" w:w="3900"/>
            <w:vAlign w:val="center"/>
          </w:tcPr>
          <w:p>
            <w:pPr>
              <w:spacing w:after="0"/>
            </w:pPr>
            <w:r>
              <w:rPr>
                <w:rFonts w:ascii="Calibri" w:hAnsi="Calibri"/>
                <w:b w:val="0"/>
                <w:sz w:val="18"/>
              </w:rPr>
              <w:t>VPN and management routing</w:t>
            </w:r>
          </w:p>
        </w:tc>
        <w:tc>
          <w:tcPr>
            <w:tcW w:type="dxa" w:w="5460"/>
            <w:vAlign w:val="center"/>
          </w:tcPr>
          <w:p>
            <w:pPr>
              <w:spacing w:after="0"/>
            </w:pPr>
            <w:r>
              <w:rPr>
                <w:rFonts w:ascii="Calibri" w:hAnsi="Calibri"/>
                <w:b w:val="0"/>
                <w:sz w:val="18"/>
              </w:rPr>
              <w:t>VPN and management routing</w:t>
            </w:r>
          </w:p>
        </w:tc>
      </w:tr>
      <w:tr>
        <w:tc>
          <w:tcPr>
            <w:tcW w:type="dxa" w:w="3900"/>
            <w:vAlign w:val="center"/>
          </w:tcPr>
          <w:p>
            <w:pPr>
              <w:spacing w:after="0"/>
            </w:pPr>
            <w:r>
              <w:rPr>
                <w:rFonts w:ascii="Calibri" w:hAnsi="Calibri"/>
                <w:b w:val="0"/>
                <w:sz w:val="18"/>
              </w:rPr>
              <w:t>DC01</w:t>
            </w:r>
          </w:p>
        </w:tc>
        <w:tc>
          <w:tcPr>
            <w:tcW w:type="dxa" w:w="5460"/>
            <w:vAlign w:val="center"/>
          </w:tcPr>
          <w:p>
            <w:pPr>
              <w:spacing w:after="0"/>
            </w:pPr>
            <w:r>
              <w:rPr>
                <w:rFonts w:ascii="Calibri" w:hAnsi="Calibri"/>
                <w:b w:val="0"/>
                <w:sz w:val="18"/>
              </w:rPr>
              <w:t>DC01</w:t>
            </w:r>
          </w:p>
        </w:tc>
      </w:tr>
      <w:tr>
        <w:tc>
          <w:tcPr>
            <w:tcW w:type="dxa" w:w="3900"/>
            <w:vAlign w:val="center"/>
          </w:tcPr>
          <w:p>
            <w:pPr>
              <w:spacing w:after="0"/>
            </w:pPr>
            <w:r>
              <w:rPr>
                <w:rFonts w:ascii="Calibri" w:hAnsi="Calibri"/>
                <w:b w:val="0"/>
                <w:sz w:val="18"/>
              </w:rPr>
              <w:t>Active Directory Domain Services</w:t>
            </w:r>
          </w:p>
        </w:tc>
        <w:tc>
          <w:tcPr>
            <w:tcW w:type="dxa" w:w="5460"/>
            <w:vAlign w:val="center"/>
          </w:tcPr>
          <w:p>
            <w:pPr>
              <w:spacing w:after="0"/>
            </w:pPr>
            <w:r>
              <w:rPr>
                <w:rFonts w:ascii="Calibri" w:hAnsi="Calibri"/>
                <w:b w:val="0"/>
                <w:sz w:val="18"/>
              </w:rPr>
              <w:t>Active Directory Domain Services</w:t>
            </w:r>
          </w:p>
        </w:tc>
      </w:tr>
      <w:tr>
        <w:tc>
          <w:tcPr>
            <w:tcW w:type="dxa" w:w="3900"/>
            <w:vAlign w:val="center"/>
          </w:tcPr>
          <w:p>
            <w:pPr>
              <w:spacing w:after="0"/>
            </w:pPr>
            <w:r>
              <w:rPr>
                <w:rFonts w:ascii="Calibri" w:hAnsi="Calibri"/>
                <w:b w:val="0"/>
                <w:sz w:val="18"/>
              </w:rPr>
              <w:t>FSMO roles</w:t>
            </w:r>
          </w:p>
        </w:tc>
        <w:tc>
          <w:tcPr>
            <w:tcW w:type="dxa" w:w="5460"/>
            <w:vAlign w:val="center"/>
          </w:tcPr>
          <w:p>
            <w:pPr>
              <w:spacing w:after="0"/>
            </w:pPr>
            <w:r>
              <w:rPr>
                <w:rFonts w:ascii="Calibri" w:hAnsi="Calibri"/>
                <w:b w:val="0"/>
                <w:sz w:val="18"/>
              </w:rPr>
              <w:t>FSMO roles</w:t>
            </w:r>
          </w:p>
        </w:tc>
      </w:tr>
      <w:tr>
        <w:tc>
          <w:tcPr>
            <w:tcW w:type="dxa" w:w="3900"/>
            <w:vAlign w:val="center"/>
          </w:tcPr>
          <w:p>
            <w:pPr>
              <w:spacing w:after="0"/>
            </w:pPr>
            <w:r>
              <w:rPr>
                <w:rFonts w:ascii="Calibri" w:hAnsi="Calibri"/>
                <w:b w:val="0"/>
                <w:sz w:val="18"/>
              </w:rPr>
              <w:t>DNS</w:t>
            </w:r>
          </w:p>
        </w:tc>
        <w:tc>
          <w:tcPr>
            <w:tcW w:type="dxa" w:w="5460"/>
            <w:vAlign w:val="center"/>
          </w:tcPr>
          <w:p>
            <w:pPr>
              <w:spacing w:after="0"/>
            </w:pPr>
            <w:r>
              <w:rPr>
                <w:rFonts w:ascii="Calibri" w:hAnsi="Calibri"/>
                <w:b w:val="0"/>
                <w:sz w:val="18"/>
              </w:rPr>
              <w:t>DNS</w:t>
            </w:r>
          </w:p>
        </w:tc>
      </w:tr>
      <w:tr>
        <w:tc>
          <w:tcPr>
            <w:tcW w:type="dxa" w:w="3900"/>
            <w:vAlign w:val="center"/>
          </w:tcPr>
          <w:p>
            <w:pPr>
              <w:spacing w:after="0"/>
            </w:pPr>
            <w:r>
              <w:rPr>
                <w:rFonts w:ascii="Calibri" w:hAnsi="Calibri"/>
                <w:b w:val="0"/>
                <w:sz w:val="18"/>
              </w:rPr>
              <w:t>DHCP</w:t>
            </w:r>
          </w:p>
        </w:tc>
        <w:tc>
          <w:tcPr>
            <w:tcW w:type="dxa" w:w="5460"/>
            <w:vAlign w:val="center"/>
          </w:tcPr>
          <w:p>
            <w:pPr>
              <w:spacing w:after="0"/>
            </w:pPr>
            <w:r>
              <w:rPr>
                <w:rFonts w:ascii="Calibri" w:hAnsi="Calibri"/>
                <w:b w:val="0"/>
                <w:sz w:val="18"/>
              </w:rPr>
              <w:t>DHCP</w:t>
            </w:r>
          </w:p>
        </w:tc>
      </w:tr>
      <w:tr>
        <w:tc>
          <w:tcPr>
            <w:tcW w:type="dxa" w:w="3900"/>
            <w:vAlign w:val="center"/>
          </w:tcPr>
          <w:p>
            <w:pPr>
              <w:spacing w:after="0"/>
            </w:pPr>
            <w:r>
              <w:rPr>
                <w:rFonts w:ascii="Calibri" w:hAnsi="Calibri"/>
                <w:b w:val="0"/>
                <w:sz w:val="18"/>
              </w:rPr>
              <w:t>Group Policy</w:t>
            </w:r>
          </w:p>
        </w:tc>
        <w:tc>
          <w:tcPr>
            <w:tcW w:type="dxa" w:w="5460"/>
            <w:vAlign w:val="center"/>
          </w:tcPr>
          <w:p>
            <w:pPr>
              <w:spacing w:after="0"/>
            </w:pPr>
            <w:r>
              <w:rPr>
                <w:rFonts w:ascii="Calibri" w:hAnsi="Calibri"/>
                <w:b w:val="0"/>
                <w:sz w:val="18"/>
              </w:rPr>
              <w:t>Group Policy</w:t>
            </w:r>
          </w:p>
        </w:tc>
      </w:tr>
      <w:tr>
        <w:tc>
          <w:tcPr>
            <w:tcW w:type="dxa" w:w="3900"/>
            <w:vAlign w:val="center"/>
          </w:tcPr>
          <w:p>
            <w:pPr>
              <w:spacing w:after="0"/>
            </w:pPr>
            <w:r>
              <w:rPr>
                <w:rFonts w:ascii="Calibri" w:hAnsi="Calibri"/>
                <w:b w:val="0"/>
                <w:sz w:val="18"/>
              </w:rPr>
              <w:t>File services</w:t>
            </w:r>
          </w:p>
        </w:tc>
        <w:tc>
          <w:tcPr>
            <w:tcW w:type="dxa" w:w="5460"/>
            <w:vAlign w:val="center"/>
          </w:tcPr>
          <w:p>
            <w:pPr>
              <w:spacing w:after="0"/>
            </w:pPr>
            <w:r>
              <w:rPr>
                <w:rFonts w:ascii="Calibri" w:hAnsi="Calibri"/>
                <w:b w:val="0"/>
                <w:sz w:val="18"/>
              </w:rPr>
              <w:t>File services</w:t>
            </w:r>
          </w:p>
        </w:tc>
      </w:tr>
      <w:tr>
        <w:tc>
          <w:tcPr>
            <w:tcW w:type="dxa" w:w="3900"/>
            <w:vAlign w:val="center"/>
          </w:tcPr>
          <w:p>
            <w:pPr>
              <w:spacing w:after="0"/>
            </w:pPr>
            <w:r>
              <w:rPr>
                <w:rFonts w:ascii="Calibri" w:hAnsi="Calibri"/>
                <w:b w:val="0"/>
                <w:sz w:val="18"/>
              </w:rPr>
              <w:t>Security groups and permissions</w:t>
            </w:r>
          </w:p>
        </w:tc>
        <w:tc>
          <w:tcPr>
            <w:tcW w:type="dxa" w:w="5460"/>
            <w:vAlign w:val="center"/>
          </w:tcPr>
          <w:p>
            <w:pPr>
              <w:spacing w:after="0"/>
            </w:pPr>
            <w:r>
              <w:rPr>
                <w:rFonts w:ascii="Calibri" w:hAnsi="Calibri"/>
                <w:b w:val="0"/>
                <w:sz w:val="18"/>
              </w:rPr>
              <w:t>Security groups and permissions</w:t>
            </w:r>
          </w:p>
        </w:tc>
      </w:tr>
      <w:tr>
        <w:tc>
          <w:tcPr>
            <w:tcW w:type="dxa" w:w="3900"/>
            <w:vAlign w:val="center"/>
          </w:tcPr>
          <w:p>
            <w:pPr>
              <w:spacing w:after="0"/>
            </w:pPr>
            <w:r>
              <w:rPr>
                <w:rFonts w:ascii="Calibri" w:hAnsi="Calibri"/>
                <w:b w:val="0"/>
                <w:sz w:val="18"/>
              </w:rPr>
              <w:t>WS01</w:t>
            </w:r>
          </w:p>
        </w:tc>
        <w:tc>
          <w:tcPr>
            <w:tcW w:type="dxa" w:w="5460"/>
            <w:vAlign w:val="center"/>
          </w:tcPr>
          <w:p>
            <w:pPr>
              <w:spacing w:after="0"/>
            </w:pPr>
            <w:r>
              <w:rPr>
                <w:rFonts w:ascii="Calibri" w:hAnsi="Calibri"/>
                <w:b w:val="0"/>
                <w:sz w:val="18"/>
              </w:rPr>
              <w:t>WS01</w:t>
            </w:r>
          </w:p>
        </w:tc>
      </w:tr>
      <w:tr>
        <w:tc>
          <w:tcPr>
            <w:tcW w:type="dxa" w:w="3900"/>
            <w:vAlign w:val="center"/>
          </w:tcPr>
          <w:p>
            <w:pPr>
              <w:spacing w:after="0"/>
            </w:pPr>
            <w:r>
              <w:rPr>
                <w:rFonts w:ascii="Calibri" w:hAnsi="Calibri"/>
                <w:b w:val="0"/>
                <w:sz w:val="18"/>
              </w:rPr>
              <w:t>Linux01</w:t>
            </w:r>
          </w:p>
        </w:tc>
        <w:tc>
          <w:tcPr>
            <w:tcW w:type="dxa" w:w="5460"/>
            <w:vAlign w:val="center"/>
          </w:tcPr>
          <w:p>
            <w:pPr>
              <w:spacing w:after="0"/>
            </w:pPr>
            <w:r>
              <w:rPr>
                <w:rFonts w:ascii="Calibri" w:hAnsi="Calibri"/>
                <w:b w:val="0"/>
                <w:sz w:val="18"/>
              </w:rPr>
              <w:t>Linux01</w:t>
            </w:r>
          </w:p>
        </w:tc>
      </w:tr>
      <w:tr>
        <w:tc>
          <w:tcPr>
            <w:tcW w:type="dxa" w:w="3900"/>
            <w:vAlign w:val="center"/>
          </w:tcPr>
          <w:p>
            <w:pPr>
              <w:spacing w:after="0"/>
            </w:pPr>
            <w:r>
              <w:rPr>
                <w:rFonts w:ascii="Calibri" w:hAnsi="Calibri"/>
                <w:b w:val="0"/>
                <w:sz w:val="18"/>
              </w:rPr>
              <w:t>Linux VLAN placement</w:t>
            </w:r>
          </w:p>
        </w:tc>
        <w:tc>
          <w:tcPr>
            <w:tcW w:type="dxa" w:w="5460"/>
            <w:vAlign w:val="center"/>
          </w:tcPr>
          <w:p>
            <w:pPr>
              <w:spacing w:after="0"/>
            </w:pPr>
            <w:r>
              <w:rPr>
                <w:rFonts w:ascii="Calibri" w:hAnsi="Calibri"/>
                <w:b w:val="0"/>
                <w:sz w:val="18"/>
              </w:rPr>
              <w:t>Linux VLAN placement</w:t>
            </w:r>
          </w:p>
        </w:tc>
      </w:tr>
      <w:tr>
        <w:tc>
          <w:tcPr>
            <w:tcW w:type="dxa" w:w="3900"/>
            <w:vAlign w:val="center"/>
          </w:tcPr>
          <w:p>
            <w:pPr>
              <w:spacing w:after="0"/>
            </w:pPr>
            <w:r>
              <w:rPr>
                <w:rFonts w:ascii="Calibri" w:hAnsi="Calibri"/>
                <w:b w:val="0"/>
                <w:sz w:val="18"/>
              </w:rPr>
              <w:t>Active Directory integration</w:t>
            </w:r>
          </w:p>
        </w:tc>
        <w:tc>
          <w:tcPr>
            <w:tcW w:type="dxa" w:w="5460"/>
            <w:vAlign w:val="center"/>
          </w:tcPr>
          <w:p>
            <w:pPr>
              <w:spacing w:after="0"/>
            </w:pPr>
            <w:r>
              <w:rPr>
                <w:rFonts w:ascii="Calibri" w:hAnsi="Calibri"/>
                <w:b w:val="0"/>
                <w:sz w:val="18"/>
              </w:rPr>
              <w:t>Active Directory integration</w:t>
            </w:r>
          </w:p>
        </w:tc>
      </w:tr>
      <w:tr>
        <w:tc>
          <w:tcPr>
            <w:tcW w:type="dxa" w:w="3900"/>
            <w:vAlign w:val="center"/>
          </w:tcPr>
          <w:p>
            <w:pPr>
              <w:spacing w:after="0"/>
            </w:pPr>
            <w:r>
              <w:rPr>
                <w:rFonts w:ascii="Calibri" w:hAnsi="Calibri"/>
                <w:b w:val="0"/>
                <w:sz w:val="18"/>
              </w:rPr>
              <w:t>SSSD</w:t>
            </w:r>
          </w:p>
        </w:tc>
        <w:tc>
          <w:tcPr>
            <w:tcW w:type="dxa" w:w="5460"/>
            <w:vAlign w:val="center"/>
          </w:tcPr>
          <w:p>
            <w:pPr>
              <w:spacing w:after="0"/>
            </w:pPr>
            <w:r>
              <w:rPr>
                <w:rFonts w:ascii="Calibri" w:hAnsi="Calibri"/>
                <w:b w:val="0"/>
                <w:sz w:val="18"/>
              </w:rPr>
              <w:t>SSSD</w:t>
            </w:r>
          </w:p>
        </w:tc>
      </w:tr>
      <w:tr>
        <w:tc>
          <w:tcPr>
            <w:tcW w:type="dxa" w:w="3900"/>
            <w:vAlign w:val="center"/>
          </w:tcPr>
          <w:p>
            <w:pPr>
              <w:spacing w:after="0"/>
            </w:pPr>
            <w:r>
              <w:rPr>
                <w:rFonts w:ascii="Calibri" w:hAnsi="Calibri"/>
                <w:b w:val="0"/>
                <w:sz w:val="18"/>
              </w:rPr>
              <w:t>Kerberos</w:t>
            </w:r>
          </w:p>
        </w:tc>
        <w:tc>
          <w:tcPr>
            <w:tcW w:type="dxa" w:w="5460"/>
            <w:vAlign w:val="center"/>
          </w:tcPr>
          <w:p>
            <w:pPr>
              <w:spacing w:after="0"/>
            </w:pPr>
            <w:r>
              <w:rPr>
                <w:rFonts w:ascii="Calibri" w:hAnsi="Calibri"/>
                <w:b w:val="0"/>
                <w:sz w:val="18"/>
              </w:rPr>
              <w:t>Kerberos</w:t>
            </w:r>
          </w:p>
        </w:tc>
      </w:tr>
      <w:tr>
        <w:tc>
          <w:tcPr>
            <w:tcW w:type="dxa" w:w="3900"/>
            <w:vAlign w:val="center"/>
          </w:tcPr>
          <w:p>
            <w:pPr>
              <w:spacing w:after="0"/>
            </w:pPr>
            <w:r>
              <w:rPr>
                <w:rFonts w:ascii="Calibri" w:hAnsi="Calibri"/>
                <w:b w:val="0"/>
                <w:sz w:val="18"/>
              </w:rPr>
              <w:t>SSH</w:t>
            </w:r>
          </w:p>
        </w:tc>
        <w:tc>
          <w:tcPr>
            <w:tcW w:type="dxa" w:w="5460"/>
            <w:vAlign w:val="center"/>
          </w:tcPr>
          <w:p>
            <w:pPr>
              <w:spacing w:after="0"/>
            </w:pPr>
            <w:r>
              <w:rPr>
                <w:rFonts w:ascii="Calibri" w:hAnsi="Calibri"/>
                <w:b w:val="0"/>
                <w:sz w:val="18"/>
              </w:rPr>
              <w:t>SSH</w:t>
            </w:r>
          </w:p>
        </w:tc>
      </w:tr>
      <w:tr>
        <w:tc>
          <w:tcPr>
            <w:tcW w:type="dxa" w:w="3900"/>
            <w:vAlign w:val="center"/>
          </w:tcPr>
          <w:p>
            <w:pPr>
              <w:spacing w:after="0"/>
            </w:pPr>
            <w:r>
              <w:rPr>
                <w:rFonts w:ascii="Calibri" w:hAnsi="Calibri"/>
                <w:b w:val="0"/>
                <w:sz w:val="18"/>
              </w:rPr>
              <w:t>UFW</w:t>
            </w:r>
          </w:p>
        </w:tc>
        <w:tc>
          <w:tcPr>
            <w:tcW w:type="dxa" w:w="5460"/>
            <w:vAlign w:val="center"/>
          </w:tcPr>
          <w:p>
            <w:pPr>
              <w:spacing w:after="0"/>
            </w:pPr>
            <w:r>
              <w:rPr>
                <w:rFonts w:ascii="Calibri" w:hAnsi="Calibri"/>
                <w:b w:val="0"/>
                <w:sz w:val="18"/>
              </w:rPr>
              <w:t>UFW</w:t>
            </w:r>
          </w:p>
        </w:tc>
      </w:tr>
      <w:tr>
        <w:tc>
          <w:tcPr>
            <w:tcW w:type="dxa" w:w="3900"/>
            <w:vAlign w:val="center"/>
          </w:tcPr>
          <w:p>
            <w:pPr>
              <w:spacing w:after="0"/>
            </w:pPr>
            <w:r>
              <w:rPr>
                <w:rFonts w:ascii="Calibri" w:hAnsi="Calibri"/>
                <w:b w:val="0"/>
                <w:sz w:val="18"/>
              </w:rPr>
              <w:t>sudo controls</w:t>
            </w:r>
          </w:p>
        </w:tc>
        <w:tc>
          <w:tcPr>
            <w:tcW w:type="dxa" w:w="5460"/>
            <w:vAlign w:val="center"/>
          </w:tcPr>
          <w:p>
            <w:pPr>
              <w:spacing w:after="0"/>
            </w:pPr>
            <w:r>
              <w:rPr>
                <w:rFonts w:ascii="Calibri" w:hAnsi="Calibri"/>
                <w:b w:val="0"/>
                <w:sz w:val="18"/>
              </w:rPr>
              <w:t>sudo controls</w:t>
            </w:r>
          </w:p>
        </w:tc>
      </w:tr>
      <w:tr>
        <w:tc>
          <w:tcPr>
            <w:tcW w:type="dxa" w:w="3900"/>
            <w:vAlign w:val="center"/>
          </w:tcPr>
          <w:p>
            <w:pPr>
              <w:spacing w:after="0"/>
            </w:pPr>
            <w:r>
              <w:rPr>
                <w:rFonts w:ascii="Calibri" w:hAnsi="Calibri"/>
                <w:b w:val="0"/>
                <w:sz w:val="18"/>
              </w:rPr>
              <w:t>QEMU guest agent</w:t>
            </w:r>
          </w:p>
        </w:tc>
        <w:tc>
          <w:tcPr>
            <w:tcW w:type="dxa" w:w="5460"/>
            <w:vAlign w:val="center"/>
          </w:tcPr>
          <w:p>
            <w:pPr>
              <w:spacing w:after="0"/>
            </w:pPr>
            <w:r>
              <w:rPr>
                <w:rFonts w:ascii="Calibri" w:hAnsi="Calibri"/>
                <w:b w:val="0"/>
                <w:sz w:val="18"/>
              </w:rPr>
              <w:t>QEMU guest agent</w:t>
            </w:r>
          </w:p>
        </w:tc>
      </w:tr>
      <w:tr>
        <w:tc>
          <w:tcPr>
            <w:tcW w:type="dxa" w:w="3900"/>
            <w:vAlign w:val="center"/>
          </w:tcPr>
          <w:p>
            <w:pPr>
              <w:spacing w:after="0"/>
            </w:pPr>
            <w:r>
              <w:rPr>
                <w:rFonts w:ascii="Calibri" w:hAnsi="Calibri"/>
                <w:b w:val="0"/>
                <w:sz w:val="18"/>
              </w:rPr>
              <w:t>Centralized logging</w:t>
            </w:r>
          </w:p>
        </w:tc>
        <w:tc>
          <w:tcPr>
            <w:tcW w:type="dxa" w:w="5460"/>
            <w:vAlign w:val="center"/>
          </w:tcPr>
          <w:p>
            <w:pPr>
              <w:spacing w:after="0"/>
            </w:pPr>
            <w:r>
              <w:rPr>
                <w:rFonts w:ascii="Calibri" w:hAnsi="Calibri"/>
                <w:b w:val="0"/>
                <w:sz w:val="18"/>
              </w:rPr>
              <w:t>Centralized logging</w:t>
            </w:r>
          </w:p>
        </w:tc>
      </w:tr>
      <w:tr>
        <w:tc>
          <w:tcPr>
            <w:tcW w:type="dxa" w:w="3900"/>
            <w:vAlign w:val="center"/>
          </w:tcPr>
          <w:p>
            <w:pPr>
              <w:spacing w:after="0"/>
            </w:pPr>
            <w:r>
              <w:rPr>
                <w:rFonts w:ascii="Calibri" w:hAnsi="Calibri"/>
                <w:b w:val="0"/>
                <w:sz w:val="18"/>
              </w:rPr>
              <w:t>Backup architecture</w:t>
            </w:r>
          </w:p>
        </w:tc>
        <w:tc>
          <w:tcPr>
            <w:tcW w:type="dxa" w:w="5460"/>
            <w:vAlign w:val="center"/>
          </w:tcPr>
          <w:p>
            <w:pPr>
              <w:spacing w:after="0"/>
            </w:pPr>
            <w:r>
              <w:rPr>
                <w:rFonts w:ascii="Calibri" w:hAnsi="Calibri"/>
                <w:b w:val="0"/>
                <w:sz w:val="18"/>
              </w:rPr>
              <w:t>Backup architecture</w:t>
            </w:r>
          </w:p>
        </w:tc>
      </w:tr>
      <w:tr>
        <w:tc>
          <w:tcPr>
            <w:tcW w:type="dxa" w:w="3900"/>
            <w:vAlign w:val="center"/>
          </w:tcPr>
          <w:p>
            <w:pPr>
              <w:spacing w:after="0"/>
            </w:pPr>
            <w:r>
              <w:rPr>
                <w:rFonts w:ascii="Calibri" w:hAnsi="Calibri"/>
                <w:b w:val="0"/>
                <w:sz w:val="18"/>
              </w:rPr>
              <w:t>Snapshots</w:t>
            </w:r>
          </w:p>
        </w:tc>
        <w:tc>
          <w:tcPr>
            <w:tcW w:type="dxa" w:w="5460"/>
            <w:vAlign w:val="center"/>
          </w:tcPr>
          <w:p>
            <w:pPr>
              <w:spacing w:after="0"/>
            </w:pPr>
            <w:r>
              <w:rPr>
                <w:rFonts w:ascii="Calibri" w:hAnsi="Calibri"/>
                <w:b w:val="0"/>
                <w:sz w:val="18"/>
              </w:rPr>
              <w:t>Snapshots</w:t>
            </w:r>
          </w:p>
        </w:tc>
      </w:tr>
      <w:tr>
        <w:tc>
          <w:tcPr>
            <w:tcW w:type="dxa" w:w="3900"/>
            <w:vAlign w:val="center"/>
          </w:tcPr>
          <w:p>
            <w:pPr>
              <w:spacing w:after="0"/>
            </w:pPr>
            <w:r>
              <w:rPr>
                <w:rFonts w:ascii="Calibri" w:hAnsi="Calibri"/>
                <w:b w:val="0"/>
                <w:sz w:val="18"/>
              </w:rPr>
              <w:t>Archive integrity</w:t>
            </w:r>
          </w:p>
        </w:tc>
        <w:tc>
          <w:tcPr>
            <w:tcW w:type="dxa" w:w="5460"/>
            <w:vAlign w:val="center"/>
          </w:tcPr>
          <w:p>
            <w:pPr>
              <w:spacing w:after="0"/>
            </w:pPr>
            <w:r>
              <w:rPr>
                <w:rFonts w:ascii="Calibri" w:hAnsi="Calibri"/>
                <w:b w:val="0"/>
                <w:sz w:val="18"/>
              </w:rPr>
              <w:t>Archive integrity</w:t>
            </w:r>
          </w:p>
        </w:tc>
      </w:tr>
      <w:tr>
        <w:tc>
          <w:tcPr>
            <w:tcW w:type="dxa" w:w="3900"/>
            <w:vAlign w:val="center"/>
          </w:tcPr>
          <w:p>
            <w:pPr>
              <w:spacing w:after="0"/>
            </w:pPr>
            <w:r>
              <w:rPr>
                <w:rFonts w:ascii="Calibri" w:hAnsi="Calibri"/>
                <w:b w:val="0"/>
                <w:sz w:val="18"/>
              </w:rPr>
              <w:t>Restore testing</w:t>
            </w:r>
          </w:p>
        </w:tc>
        <w:tc>
          <w:tcPr>
            <w:tcW w:type="dxa" w:w="5460"/>
            <w:vAlign w:val="center"/>
          </w:tcPr>
          <w:p>
            <w:pPr>
              <w:spacing w:after="0"/>
            </w:pPr>
            <w:r>
              <w:rPr>
                <w:rFonts w:ascii="Calibri" w:hAnsi="Calibri"/>
                <w:b w:val="0"/>
                <w:sz w:val="18"/>
              </w:rPr>
              <w:t>Restore testing</w:t>
            </w:r>
          </w:p>
        </w:tc>
      </w:tr>
      <w:tr>
        <w:tc>
          <w:tcPr>
            <w:tcW w:type="dxa" w:w="3900"/>
            <w:vAlign w:val="center"/>
          </w:tcPr>
          <w:p>
            <w:pPr>
              <w:spacing w:after="0"/>
            </w:pPr>
            <w:r>
              <w:rPr>
                <w:rFonts w:ascii="Calibri" w:hAnsi="Calibri"/>
                <w:b w:val="0"/>
                <w:sz w:val="18"/>
              </w:rPr>
              <w:t>Storage monitoring</w:t>
            </w:r>
          </w:p>
        </w:tc>
        <w:tc>
          <w:tcPr>
            <w:tcW w:type="dxa" w:w="5460"/>
            <w:vAlign w:val="center"/>
          </w:tcPr>
          <w:p>
            <w:pPr>
              <w:spacing w:after="0"/>
            </w:pPr>
            <w:r>
              <w:rPr>
                <w:rFonts w:ascii="Calibri" w:hAnsi="Calibri"/>
                <w:b w:val="0"/>
                <w:sz w:val="18"/>
              </w:rPr>
              <w:t>Storage monitoring</w:t>
            </w:r>
          </w:p>
        </w:tc>
      </w:tr>
      <w:tr>
        <w:tc>
          <w:tcPr>
            <w:tcW w:type="dxa" w:w="3900"/>
            <w:vAlign w:val="center"/>
          </w:tcPr>
          <w:p>
            <w:pPr>
              <w:spacing w:after="0"/>
            </w:pPr>
            <w:r>
              <w:rPr>
                <w:rFonts w:ascii="Calibri" w:hAnsi="Calibri"/>
                <w:b w:val="0"/>
                <w:sz w:val="18"/>
              </w:rPr>
              <w:t>PowerShell automation</w:t>
            </w:r>
          </w:p>
        </w:tc>
        <w:tc>
          <w:tcPr>
            <w:tcW w:type="dxa" w:w="5460"/>
            <w:vAlign w:val="center"/>
          </w:tcPr>
          <w:p>
            <w:pPr>
              <w:spacing w:after="0"/>
            </w:pPr>
            <w:r>
              <w:rPr>
                <w:rFonts w:ascii="Calibri" w:hAnsi="Calibri"/>
                <w:b w:val="0"/>
                <w:sz w:val="18"/>
              </w:rPr>
              <w:t>PowerShell automation</w:t>
            </w:r>
          </w:p>
        </w:tc>
      </w:tr>
      <w:tr>
        <w:tc>
          <w:tcPr>
            <w:tcW w:type="dxa" w:w="3900"/>
            <w:vAlign w:val="center"/>
          </w:tcPr>
          <w:p>
            <w:pPr>
              <w:spacing w:after="0"/>
            </w:pPr>
            <w:r>
              <w:rPr>
                <w:rFonts w:ascii="Calibri" w:hAnsi="Calibri"/>
                <w:b w:val="0"/>
                <w:sz w:val="18"/>
              </w:rPr>
              <w:t>Read-only operations framework</w:t>
            </w:r>
          </w:p>
        </w:tc>
        <w:tc>
          <w:tcPr>
            <w:tcW w:type="dxa" w:w="5460"/>
            <w:vAlign w:val="center"/>
          </w:tcPr>
          <w:p>
            <w:pPr>
              <w:spacing w:after="0"/>
            </w:pPr>
            <w:r>
              <w:rPr>
                <w:rFonts w:ascii="Calibri" w:hAnsi="Calibri"/>
                <w:b w:val="0"/>
                <w:sz w:val="18"/>
              </w:rPr>
              <w:t>Read-only operations framework</w:t>
            </w:r>
          </w:p>
        </w:tc>
      </w:tr>
      <w:tr>
        <w:tc>
          <w:tcPr>
            <w:tcW w:type="dxa" w:w="3900"/>
            <w:vAlign w:val="center"/>
          </w:tcPr>
          <w:p>
            <w:pPr>
              <w:spacing w:after="0"/>
            </w:pPr>
            <w:r>
              <w:rPr>
                <w:rFonts w:ascii="Calibri" w:hAnsi="Calibri"/>
                <w:b w:val="0"/>
                <w:sz w:val="18"/>
              </w:rPr>
              <w:t>Authenticated target-local inventories</w:t>
            </w:r>
          </w:p>
        </w:tc>
        <w:tc>
          <w:tcPr>
            <w:tcW w:type="dxa" w:w="5460"/>
            <w:vAlign w:val="center"/>
          </w:tcPr>
          <w:p>
            <w:pPr>
              <w:spacing w:after="0"/>
            </w:pPr>
            <w:r>
              <w:rPr>
                <w:rFonts w:ascii="Calibri" w:hAnsi="Calibri"/>
                <w:b w:val="0"/>
                <w:sz w:val="18"/>
              </w:rPr>
              <w:t>Authenticated target-local inventories</w:t>
            </w:r>
          </w:p>
        </w:tc>
      </w:tr>
      <w:tr>
        <w:tc>
          <w:tcPr>
            <w:tcW w:type="dxa" w:w="3900"/>
            <w:vAlign w:val="center"/>
          </w:tcPr>
          <w:p>
            <w:pPr>
              <w:spacing w:after="0"/>
            </w:pPr>
            <w:r>
              <w:rPr>
                <w:rFonts w:ascii="Calibri" w:hAnsi="Calibri"/>
                <w:b w:val="0"/>
                <w:sz w:val="18"/>
              </w:rPr>
              <w:t>Troubleshooting and remediation</w:t>
            </w:r>
          </w:p>
        </w:tc>
        <w:tc>
          <w:tcPr>
            <w:tcW w:type="dxa" w:w="5460"/>
            <w:vAlign w:val="center"/>
          </w:tcPr>
          <w:p>
            <w:pPr>
              <w:spacing w:after="0"/>
            </w:pPr>
            <w:r>
              <w:rPr>
                <w:rFonts w:ascii="Calibri" w:hAnsi="Calibri"/>
                <w:b w:val="0"/>
                <w:sz w:val="18"/>
              </w:rPr>
              <w:t>Troubleshooting and remediation</w:t>
            </w:r>
          </w:p>
        </w:tc>
      </w:tr>
      <w:tr>
        <w:tc>
          <w:tcPr>
            <w:tcW w:type="dxa" w:w="3900"/>
            <w:vAlign w:val="center"/>
          </w:tcPr>
          <w:p>
            <w:pPr>
              <w:spacing w:after="0"/>
            </w:pPr>
            <w:r>
              <w:rPr>
                <w:rFonts w:ascii="Calibri" w:hAnsi="Calibri"/>
                <w:b w:val="0"/>
                <w:sz w:val="18"/>
              </w:rPr>
              <w:t>Known limitations</w:t>
            </w:r>
          </w:p>
        </w:tc>
        <w:tc>
          <w:tcPr>
            <w:tcW w:type="dxa" w:w="5460"/>
            <w:vAlign w:val="center"/>
          </w:tcPr>
          <w:p>
            <w:pPr>
              <w:spacing w:after="0"/>
            </w:pPr>
            <w:r>
              <w:rPr>
                <w:rFonts w:ascii="Calibri" w:hAnsi="Calibri"/>
                <w:b w:val="0"/>
                <w:sz w:val="18"/>
              </w:rPr>
              <w:t>Known limitations</w:t>
            </w:r>
          </w:p>
        </w:tc>
      </w:tr>
      <w:tr>
        <w:tc>
          <w:tcPr>
            <w:tcW w:type="dxa" w:w="3900"/>
            <w:vAlign w:val="center"/>
          </w:tcPr>
          <w:p>
            <w:pPr>
              <w:spacing w:after="0"/>
            </w:pPr>
            <w:r>
              <w:rPr>
                <w:rFonts w:ascii="Calibri" w:hAnsi="Calibri"/>
                <w:b w:val="0"/>
                <w:sz w:val="18"/>
              </w:rPr>
              <w:t>Skills demonstrated</w:t>
            </w:r>
          </w:p>
        </w:tc>
        <w:tc>
          <w:tcPr>
            <w:tcW w:type="dxa" w:w="5460"/>
            <w:vAlign w:val="center"/>
          </w:tcPr>
          <w:p>
            <w:pPr>
              <w:spacing w:after="0"/>
            </w:pPr>
            <w:r>
              <w:rPr>
                <w:rFonts w:ascii="Calibri" w:hAnsi="Calibri"/>
                <w:b w:val="0"/>
                <w:sz w:val="18"/>
              </w:rPr>
              <w:t>Skills demonstrated</w:t>
            </w:r>
          </w:p>
        </w:tc>
      </w:tr>
      <w:tr>
        <w:tc>
          <w:tcPr>
            <w:tcW w:type="dxa" w:w="3900"/>
            <w:vAlign w:val="center"/>
          </w:tcPr>
          <w:p>
            <w:pPr>
              <w:spacing w:after="0"/>
            </w:pPr>
            <w:r>
              <w:rPr>
                <w:rFonts w:ascii="Calibri" w:hAnsi="Calibri"/>
                <w:b w:val="0"/>
                <w:sz w:val="18"/>
              </w:rPr>
              <w:t>Conclusion</w:t>
            </w:r>
          </w:p>
        </w:tc>
        <w:tc>
          <w:tcPr>
            <w:tcW w:type="dxa" w:w="5460"/>
            <w:vAlign w:val="center"/>
          </w:tcPr>
          <w:p>
            <w:pPr>
              <w:spacing w:after="0"/>
            </w:pPr>
            <w:r>
              <w:rPr>
                <w:rFonts w:ascii="Calibri" w:hAnsi="Calibri"/>
                <w:b w:val="0"/>
                <w:sz w:val="18"/>
              </w:rPr>
              <w:t>Conclusion</w:t>
            </w:r>
          </w:p>
        </w:tc>
      </w:tr>
      <w:tr>
        <w:tc>
          <w:tcPr>
            <w:tcW w:type="dxa" w:w="3900"/>
            <w:vAlign w:val="center"/>
          </w:tcPr>
          <w:p>
            <w:pPr>
              <w:spacing w:after="0"/>
            </w:pPr>
            <w:r>
              <w:rPr>
                <w:rFonts w:ascii="Calibri" w:hAnsi="Calibri"/>
                <w:b w:val="0"/>
                <w:sz w:val="18"/>
              </w:rPr>
              <w:t>References</w:t>
            </w:r>
          </w:p>
        </w:tc>
        <w:tc>
          <w:tcPr>
            <w:tcW w:type="dxa" w:w="5460"/>
            <w:vAlign w:val="center"/>
          </w:tcPr>
          <w:p>
            <w:pPr>
              <w:spacing w:after="0"/>
            </w:pPr>
            <w:r>
              <w:rPr>
                <w:rFonts w:ascii="Calibri" w:hAnsi="Calibri"/>
                <w:b w:val="0"/>
                <w:sz w:val="18"/>
              </w:rPr>
              <w:t>References</w:t>
            </w:r>
          </w:p>
        </w:tc>
      </w:tr>
      <w:tr>
        <w:tc>
          <w:tcPr>
            <w:tcW w:type="dxa" w:w="3900"/>
            <w:vAlign w:val="center"/>
          </w:tcPr>
          <w:p>
            <w:pPr>
              <w:spacing w:after="0"/>
            </w:pPr>
            <w:r>
              <w:rPr>
                <w:rFonts w:ascii="Calibri" w:hAnsi="Calibri"/>
                <w:b w:val="0"/>
                <w:sz w:val="18"/>
              </w:rPr>
              <w:t>Appendices</w:t>
            </w:r>
          </w:p>
        </w:tc>
        <w:tc>
          <w:tcPr>
            <w:tcW w:type="dxa" w:w="5460"/>
            <w:vAlign w:val="center"/>
          </w:tcPr>
          <w:p>
            <w:pPr>
              <w:spacing w:after="0"/>
            </w:pPr>
            <w:r>
              <w:rPr>
                <w:rFonts w:ascii="Calibri" w:hAnsi="Calibri"/>
                <w:b w:val="0"/>
                <w:sz w:val="18"/>
              </w:rPr>
              <w:t>Appendices</w:t>
            </w:r>
          </w:p>
        </w:tc>
      </w:tr>
    </w:tbl>
    <w:p/>
    <w:p>
      <w:pPr>
        <w:pStyle w:val="Caption"/>
      </w:pPr>
      <w:r>
        <w:t>Table 7. Manual clickable TOC validation sample.</w:t>
      </w:r>
    </w:p>
    <w:tbl>
      <w:tblPr>
        <w:tblStyle w:val="TableGrid"/>
        <w:tblW w:type="dxa" w:w="9360"/>
        <w:jc w:val="center"/>
        <w:tblLook w:firstColumn="1" w:firstRow="1" w:lastColumn="0" w:lastRow="0" w:noHBand="0" w:noVBand="1" w:val="04A0"/>
        <w:tblInd w:type="dxa" w:w="120"/>
      </w:tblPr>
      <w:tblGrid>
        <w:gridCol w:w="4300"/>
        <w:gridCol w:w="5060"/>
      </w:tblGrid>
      <w:tr>
        <w:trPr>
          <w:tblHeader w:val="true"/>
        </w:trPr>
        <w:tc>
          <w:tcPr>
            <w:tcW w:type="dxa" w:w="4300"/>
            <w:tcMar>
              <w:top w:w="80" w:type="dxa"/>
              <w:bottom w:w="80" w:type="dxa"/>
              <w:start w:w="120" w:type="dxa"/>
              <w:end w:w="120" w:type="dxa"/>
            </w:tcMar>
            <w:vAlign w:val="center"/>
            <w:shd w:fill="E8EEF5"/>
          </w:tcPr>
          <w:p>
            <w:pPr>
              <w:spacing w:after="0"/>
            </w:pPr>
            <w:r>
              <w:rPr>
                <w:rFonts w:ascii="Calibri" w:hAnsi="Calibri"/>
                <w:b/>
                <w:sz w:val="18"/>
              </w:rPr>
              <w:t>TOC entry tested</w:t>
            </w:r>
          </w:p>
        </w:tc>
        <w:tc>
          <w:tcPr>
            <w:tcW w:type="dxa" w:w="5060"/>
            <w:tcMar>
              <w:top w:w="80" w:type="dxa"/>
              <w:bottom w:w="80" w:type="dxa"/>
              <w:start w:w="120" w:type="dxa"/>
              <w:end w:w="120" w:type="dxa"/>
            </w:tcMar>
            <w:vAlign w:val="center"/>
            <w:shd w:fill="E8EEF5"/>
          </w:tcPr>
          <w:p>
            <w:pPr>
              <w:spacing w:after="0"/>
            </w:pPr>
            <w:r>
              <w:rPr>
                <w:rFonts w:ascii="Calibri" w:hAnsi="Calibri"/>
                <w:b/>
                <w:sz w:val="18"/>
              </w:rPr>
              <w:t>Result</w:t>
            </w:r>
          </w:p>
        </w:tc>
      </w:tr>
      <w:tr>
        <w:tc>
          <w:tcPr>
            <w:tcW w:type="dxa" w:w="4300"/>
            <w:vAlign w:val="center"/>
          </w:tcPr>
          <w:p>
            <w:pPr>
              <w:spacing w:after="0"/>
            </w:pPr>
            <w:r>
              <w:rPr>
                <w:rFonts w:ascii="Calibri" w:hAnsi="Calibri"/>
                <w:b w:val="0"/>
                <w:sz w:val="18"/>
              </w:rPr>
              <w:t>Abstract</w:t>
            </w:r>
          </w:p>
        </w:tc>
        <w:tc>
          <w:tcPr>
            <w:tcW w:type="dxa" w:w="5060"/>
            <w:vAlign w:val="center"/>
          </w:tcPr>
          <w:p>
            <w:pPr>
              <w:spacing w:after="0"/>
            </w:pPr>
            <w:r>
              <w:rPr>
                <w:rFonts w:ascii="Calibri" w:hAnsi="Calibri"/>
                <w:b w:val="0"/>
                <w:sz w:val="18"/>
              </w:rPr>
              <w:t>Hyperlink anchor present and page number populated.</w:t>
            </w:r>
          </w:p>
        </w:tc>
      </w:tr>
      <w:tr>
        <w:tc>
          <w:tcPr>
            <w:tcW w:type="dxa" w:w="4300"/>
            <w:vAlign w:val="center"/>
          </w:tcPr>
          <w:p>
            <w:pPr>
              <w:spacing w:after="0"/>
            </w:pPr>
            <w:r>
              <w:rPr>
                <w:rFonts w:ascii="Calibri" w:hAnsi="Calibri"/>
                <w:b w:val="0"/>
                <w:sz w:val="18"/>
              </w:rPr>
              <w:t>Proxmox Virtualization</w:t>
            </w:r>
          </w:p>
        </w:tc>
        <w:tc>
          <w:tcPr>
            <w:tcW w:type="dxa" w:w="5060"/>
            <w:vAlign w:val="center"/>
          </w:tcPr>
          <w:p>
            <w:pPr>
              <w:spacing w:after="0"/>
            </w:pPr>
            <w:r>
              <w:rPr>
                <w:rFonts w:ascii="Calibri" w:hAnsi="Calibri"/>
                <w:b w:val="0"/>
                <w:sz w:val="18"/>
              </w:rPr>
              <w:t>Hyperlink anchor present and page number populated.</w:t>
            </w:r>
          </w:p>
        </w:tc>
      </w:tr>
      <w:tr>
        <w:tc>
          <w:tcPr>
            <w:tcW w:type="dxa" w:w="4300"/>
            <w:vAlign w:val="center"/>
          </w:tcPr>
          <w:p>
            <w:pPr>
              <w:spacing w:after="0"/>
            </w:pPr>
            <w:r>
              <w:rPr>
                <w:rFonts w:ascii="Calibri" w:hAnsi="Calibri"/>
                <w:b w:val="0"/>
                <w:sz w:val="18"/>
              </w:rPr>
              <w:t>Linux01</w:t>
            </w:r>
          </w:p>
        </w:tc>
        <w:tc>
          <w:tcPr>
            <w:tcW w:type="dxa" w:w="5060"/>
            <w:vAlign w:val="center"/>
          </w:tcPr>
          <w:p>
            <w:pPr>
              <w:spacing w:after="0"/>
            </w:pPr>
            <w:r>
              <w:rPr>
                <w:rFonts w:ascii="Calibri" w:hAnsi="Calibri"/>
                <w:b w:val="0"/>
                <w:sz w:val="18"/>
              </w:rPr>
              <w:t>Hyperlink anchor present and page number populated.</w:t>
            </w:r>
          </w:p>
        </w:tc>
      </w:tr>
      <w:tr>
        <w:tc>
          <w:tcPr>
            <w:tcW w:type="dxa" w:w="4300"/>
            <w:vAlign w:val="center"/>
          </w:tcPr>
          <w:p>
            <w:pPr>
              <w:spacing w:after="0"/>
            </w:pPr>
            <w:r>
              <w:rPr>
                <w:rFonts w:ascii="Calibri" w:hAnsi="Calibri"/>
                <w:b w:val="0"/>
                <w:sz w:val="18"/>
              </w:rPr>
              <w:t>Backup Architecture</w:t>
            </w:r>
          </w:p>
        </w:tc>
        <w:tc>
          <w:tcPr>
            <w:tcW w:type="dxa" w:w="5060"/>
            <w:vAlign w:val="center"/>
          </w:tcPr>
          <w:p>
            <w:pPr>
              <w:spacing w:after="0"/>
            </w:pPr>
            <w:r>
              <w:rPr>
                <w:rFonts w:ascii="Calibri" w:hAnsi="Calibri"/>
                <w:b w:val="0"/>
                <w:sz w:val="18"/>
              </w:rPr>
              <w:t>Hyperlink anchor present and page number populated.</w:t>
            </w:r>
          </w:p>
        </w:tc>
      </w:tr>
      <w:tr>
        <w:tc>
          <w:tcPr>
            <w:tcW w:type="dxa" w:w="4300"/>
            <w:vAlign w:val="center"/>
          </w:tcPr>
          <w:p>
            <w:pPr>
              <w:spacing w:after="0"/>
            </w:pPr>
            <w:r>
              <w:rPr>
                <w:rFonts w:ascii="Calibri" w:hAnsi="Calibri"/>
                <w:b w:val="0"/>
                <w:sz w:val="18"/>
              </w:rPr>
              <w:t>References</w:t>
            </w:r>
          </w:p>
        </w:tc>
        <w:tc>
          <w:tcPr>
            <w:tcW w:type="dxa" w:w="5060"/>
            <w:vAlign w:val="center"/>
          </w:tcPr>
          <w:p>
            <w:pPr>
              <w:spacing w:after="0"/>
            </w:pPr>
            <w:r>
              <w:rPr>
                <w:rFonts w:ascii="Calibri" w:hAnsi="Calibri"/>
                <w:b w:val="0"/>
                <w:sz w:val="18"/>
              </w:rPr>
              <w:t>Hyperlink anchor present and page number populated.</w:t>
            </w:r>
          </w:p>
        </w:tc>
      </w:tr>
    </w:tbl>
    <w:p/>
    <w:sectPr w:rsidR="00FC693F" w:rsidRPr="0006063C" w:rsidSect="00034616">
      <w:footerReference w:type="default" r:id="rId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 xml:space="preserve">Page </w:t>
    </w:r>
    <w: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before="80" w:after="160"/>
    </w:pPr>
    <w:rPr>
      <w:rFonts w:ascii="Calibri" w:hAnsi="Calibri"/>
      <w:b/>
      <w:bCs/>
      <w:i/>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Jeremy Fontenot’s On-Premises Home Lab Documentation</dc:title>
  <dc:subject>Jeremy Fontenot’s On-Premises Home Lab Documentation</dc:subject>
  <dc:creator>Jeremy Fontenot</dc:creator>
  <cp:keywords>home lab, Proxmox, pfSense, Active Directory, Linux, PowerShell, evidence governance</cp:keywords>
  <dc:description>Public-safe professional home lab documentation generated from repository evidence.</dc:description>
  <cp:lastModifiedBy/>
  <cp:revision>1</cp:revision>
  <dcterms:created xsi:type="dcterms:W3CDTF">2013-12-23T23:15:00Z</dcterms:created>
  <dcterms:modified xsi:type="dcterms:W3CDTF">2013-12-23T23:15:00Z</dcterms:modified>
  <cp:category/>
</cp:coreProperties>
</file>